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DA5B8">
      <w:pPr>
        <w:ind w:left="4680" w:hanging="4680" w:hangingChars="900"/>
        <w:rPr>
          <w:rFonts w:ascii="黑体" w:hAnsi="Calibri" w:eastAsia="黑体"/>
          <w:sz w:val="18"/>
          <w:szCs w:val="18"/>
        </w:rPr>
      </w:pPr>
      <w:r>
        <w:rPr>
          <w:rFonts w:hint="eastAsia" w:ascii="宋体" w:hAnsi="宋体" w:cs="黑体"/>
          <w:kern w:val="0"/>
          <w:sz w:val="52"/>
          <w:szCs w:val="52"/>
        </w:rPr>
        <w:t xml:space="preserve">              </w:t>
      </w:r>
      <w:r>
        <w:rPr>
          <w:sz w:val="84"/>
          <w:szCs w:val="84"/>
        </w:rPr>
        <w:drawing>
          <wp:inline distT="0" distB="0" distL="0" distR="0">
            <wp:extent cx="1743075" cy="666750"/>
            <wp:effectExtent l="0" t="0" r="9525"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4" cstate="print"/>
                    <a:srcRect/>
                    <a:stretch>
                      <a:fillRect/>
                    </a:stretch>
                  </pic:blipFill>
                  <pic:spPr>
                    <a:xfrm>
                      <a:off x="0" y="0"/>
                      <a:ext cx="1743075" cy="666750"/>
                    </a:xfrm>
                    <a:prstGeom prst="rect">
                      <a:avLst/>
                    </a:prstGeom>
                    <a:noFill/>
                    <a:ln w="9525">
                      <a:noFill/>
                      <a:miter lim="800000"/>
                      <a:headEnd/>
                      <a:tailEnd/>
                    </a:ln>
                  </pic:spPr>
                </pic:pic>
              </a:graphicData>
            </a:graphic>
          </wp:inline>
        </w:drawing>
      </w:r>
      <w:r>
        <w:rPr>
          <w:rFonts w:hint="eastAsia" w:ascii="黑体" w:hAnsi="Calibri" w:eastAsia="黑体"/>
          <w:sz w:val="84"/>
          <w:szCs w:val="84"/>
        </w:rPr>
        <w:t xml:space="preserve">(皖) </w:t>
      </w:r>
    </w:p>
    <w:p w14:paraId="43226E80">
      <w:pPr>
        <w:spacing w:line="100" w:lineRule="atLeast"/>
        <w:ind w:firstLine="430"/>
        <w:rPr>
          <w:rFonts w:ascii="楷体" w:hAnsi="楷体" w:eastAsia="楷体"/>
          <w:w w:val="120"/>
          <w:sz w:val="18"/>
          <w:szCs w:val="18"/>
        </w:rPr>
      </w:pPr>
      <w:r>
        <w:rPr>
          <w:rFonts w:hint="eastAsia" w:ascii="楷体" w:hAnsi="楷体" w:eastAsia="楷体"/>
          <w:w w:val="120"/>
          <w:sz w:val="18"/>
          <w:szCs w:val="18"/>
        </w:rPr>
        <w:t xml:space="preserve">                                                                                         </w:t>
      </w:r>
    </w:p>
    <w:p w14:paraId="45374894">
      <w:pPr>
        <w:ind w:firstLine="1243"/>
        <w:rPr>
          <w:rFonts w:ascii="方正小标宋_GBK" w:hAnsi="Calibri" w:eastAsia="方正小标宋_GBK"/>
          <w:w w:val="120"/>
          <w:sz w:val="52"/>
          <w:szCs w:val="52"/>
        </w:rPr>
      </w:pPr>
      <w:r>
        <w:rPr>
          <w:rFonts w:hint="eastAsia" w:ascii="方正小标宋_GBK" w:hAnsi="Calibri" w:eastAsia="方正小标宋_GBK"/>
          <w:w w:val="120"/>
          <w:sz w:val="52"/>
          <w:szCs w:val="52"/>
        </w:rPr>
        <w:t>安徽省地方计量技术规范</w:t>
      </w:r>
    </w:p>
    <w:p w14:paraId="5DD2F682">
      <w:pPr>
        <w:wordWrap w:val="0"/>
        <w:ind w:right="840"/>
        <w:jc w:val="right"/>
        <w:rPr>
          <w:rFonts w:ascii="黑体" w:hAnsi="黑体" w:eastAsia="黑体"/>
          <w:bCs/>
          <w:sz w:val="28"/>
          <w:szCs w:val="28"/>
        </w:rPr>
      </w:pPr>
      <w:r>
        <w:rPr>
          <w:rFonts w:ascii="黑体" w:hAnsi="黑体" w:eastAsia="黑体"/>
          <w:bCs/>
          <w:sz w:val="28"/>
          <w:szCs w:val="28"/>
        </w:rPr>
        <w:t>JJF</w:t>
      </w:r>
      <w:r>
        <w:rPr>
          <w:rFonts w:hint="eastAsia" w:ascii="黑体" w:hAnsi="黑体" w:eastAsia="黑体"/>
          <w:sz w:val="28"/>
          <w:szCs w:val="28"/>
        </w:rPr>
        <w:t>（皖）</w:t>
      </w:r>
      <w:r>
        <w:rPr>
          <w:rFonts w:hint="eastAsia" w:ascii="黑体" w:hAnsi="黑体" w:eastAsia="黑体"/>
          <w:bCs/>
          <w:sz w:val="28"/>
          <w:szCs w:val="28"/>
        </w:rPr>
        <w:t>X</w:t>
      </w:r>
      <w:r>
        <w:rPr>
          <w:rFonts w:hint="eastAsia" w:ascii="黑体" w:hAnsi="黑体" w:eastAsia="黑体"/>
          <w:sz w:val="28"/>
          <w:szCs w:val="28"/>
        </w:rPr>
        <w:t>XX</w:t>
      </w:r>
      <w:r>
        <w:rPr>
          <w:rFonts w:hint="eastAsia" w:ascii="黑体" w:hAnsi="黑体" w:eastAsia="黑体"/>
          <w:bCs/>
          <w:sz w:val="28"/>
          <w:szCs w:val="28"/>
        </w:rPr>
        <w:t>X</w:t>
      </w:r>
      <w:r>
        <w:rPr>
          <w:rFonts w:ascii="黑体" w:hAnsi="黑体" w:eastAsia="黑体"/>
          <w:bCs/>
          <w:sz w:val="28"/>
        </w:rPr>
        <w:t>-</w:t>
      </w:r>
      <w:r>
        <w:rPr>
          <w:rFonts w:ascii="黑体" w:hAnsi="黑体" w:eastAsia="黑体"/>
          <w:bCs/>
          <w:sz w:val="28"/>
          <w:szCs w:val="28"/>
        </w:rPr>
        <w:t>XXXX</w:t>
      </w:r>
    </w:p>
    <w:p w14:paraId="4BAA55BF">
      <w:pPr>
        <w:jc w:val="center"/>
        <w:rPr>
          <w:rFonts w:ascii="Times New Roman" w:hAnsi="Times New Roman" w:eastAsia="黑体"/>
          <w:b/>
          <w:sz w:val="52"/>
        </w:rPr>
      </w:pPr>
      <w:r>
        <w:pict>
          <v:line id="_x0000_s1026" o:spid="_x0000_s1026" o:spt="20" style="position:absolute;left:0pt;margin-left:-13.5pt;margin-top:7.75pt;height:0pt;width:467.7pt;z-index:251660288;mso-width-relative:page;mso-height-relative:page;" coordsize="21600,21600" o:gfxdata="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zp2jtYAAAAJ&#10;AQAADwAAAAAAAAABACAAAAAiAAAAZHJzL2Rvd25yZXYueG1sUEsBAhQAFAAAAAgAh07iQEMS1Jrl&#10;AQAA3gMAAA4AAAAAAAAAAQAgAAAAJQEAAGRycy9lMm9Eb2MueG1sUEsFBgAAAAAGAAYAWQEAAHwF&#10;AAAAAA==&#10;">
            <v:path arrowok="t"/>
            <v:fill focussize="0,0"/>
            <v:stroke/>
            <v:imagedata o:title=""/>
            <o:lock v:ext="edit"/>
          </v:line>
        </w:pict>
      </w:r>
    </w:p>
    <w:p w14:paraId="61C30052">
      <w:pPr>
        <w:jc w:val="center"/>
        <w:rPr>
          <w:rFonts w:ascii="Times New Roman" w:hAnsi="Times New Roman" w:eastAsia="黑体"/>
          <w:b/>
          <w:sz w:val="52"/>
        </w:rPr>
      </w:pPr>
    </w:p>
    <w:p w14:paraId="00EAC80A">
      <w:pPr>
        <w:jc w:val="center"/>
        <w:rPr>
          <w:rFonts w:ascii="Times New Roman" w:hAnsi="Times New Roman" w:eastAsia="黑体"/>
          <w:b/>
          <w:sz w:val="52"/>
        </w:rPr>
      </w:pPr>
    </w:p>
    <w:p w14:paraId="4152BCFA">
      <w:pPr>
        <w:jc w:val="center"/>
        <w:rPr>
          <w:rFonts w:ascii="黑体" w:hAnsi="黑体" w:eastAsia="黑体" w:cs="黑体"/>
          <w:color w:val="auto"/>
          <w:kern w:val="0"/>
          <w:sz w:val="52"/>
          <w:szCs w:val="52"/>
        </w:rPr>
      </w:pPr>
      <w:r>
        <w:rPr>
          <w:rFonts w:hint="eastAsia" w:ascii="黑体" w:hAnsi="黑体" w:eastAsia="黑体" w:cs="黑体"/>
          <w:color w:val="auto"/>
          <w:kern w:val="0"/>
          <w:sz w:val="52"/>
          <w:szCs w:val="52"/>
        </w:rPr>
        <w:t>安装式数字显示电测量仪表在线</w:t>
      </w:r>
    </w:p>
    <w:p w14:paraId="6016A818">
      <w:pPr>
        <w:jc w:val="center"/>
        <w:rPr>
          <w:rFonts w:ascii="黑体" w:hAnsi="黑体" w:eastAsia="黑体" w:cs="黑体"/>
          <w:color w:val="FF0000"/>
          <w:kern w:val="0"/>
          <w:sz w:val="52"/>
          <w:szCs w:val="52"/>
        </w:rPr>
      </w:pPr>
      <w:r>
        <w:rPr>
          <w:rFonts w:hint="eastAsia" w:ascii="黑体" w:hAnsi="黑体" w:eastAsia="黑体" w:cs="黑体"/>
          <w:color w:val="auto"/>
          <w:kern w:val="0"/>
          <w:sz w:val="52"/>
          <w:szCs w:val="52"/>
        </w:rPr>
        <w:t>校准规范</w:t>
      </w:r>
    </w:p>
    <w:p w14:paraId="2CB2EB10">
      <w:pPr>
        <w:jc w:val="center"/>
        <w:rPr>
          <w:rFonts w:ascii="黑体" w:hAnsi="黑体" w:eastAsia="黑体"/>
          <w:sz w:val="28"/>
          <w:szCs w:val="28"/>
        </w:rPr>
      </w:pPr>
      <w:r>
        <w:rPr>
          <w:rFonts w:hint="eastAsia" w:ascii="黑体" w:hAnsi="黑体" w:eastAsia="黑体"/>
          <w:color w:val="333333"/>
          <w:sz w:val="28"/>
          <w:szCs w:val="28"/>
          <w:shd w:val="clear" w:color="auto" w:fill="FFFFFF"/>
        </w:rPr>
        <w:t xml:space="preserve">Online </w:t>
      </w:r>
      <w:r>
        <w:rPr>
          <w:rFonts w:hint="eastAsia" w:ascii="黑体" w:hAnsi="黑体" w:eastAsia="黑体"/>
          <w:sz w:val="28"/>
          <w:szCs w:val="28"/>
        </w:rPr>
        <w:t>C</w:t>
      </w:r>
      <w:r>
        <w:rPr>
          <w:rFonts w:ascii="黑体" w:hAnsi="黑体" w:eastAsia="黑体"/>
          <w:color w:val="333333"/>
          <w:sz w:val="28"/>
          <w:szCs w:val="28"/>
          <w:shd w:val="clear" w:color="auto" w:fill="FFFFFF"/>
        </w:rPr>
        <w:t>alibration specification</w:t>
      </w:r>
      <w:r>
        <w:rPr>
          <w:rFonts w:hint="eastAsia" w:ascii="黑体" w:hAnsi="黑体" w:eastAsia="黑体"/>
          <w:color w:val="333333"/>
          <w:sz w:val="28"/>
          <w:szCs w:val="28"/>
          <w:shd w:val="clear" w:color="auto" w:fill="FFFFFF"/>
        </w:rPr>
        <w:t xml:space="preserve"> for </w:t>
      </w:r>
      <w:r>
        <w:rPr>
          <w:rFonts w:hint="eastAsia" w:ascii="黑体" w:hAnsi="黑体" w:eastAsia="黑体"/>
          <w:sz w:val="28"/>
          <w:szCs w:val="28"/>
        </w:rPr>
        <w:t xml:space="preserve">Mounted </w:t>
      </w:r>
      <w:r>
        <w:rPr>
          <w:rFonts w:ascii="黑体" w:hAnsi="黑体" w:eastAsia="黑体"/>
          <w:sz w:val="28"/>
          <w:szCs w:val="28"/>
        </w:rPr>
        <w:t>digital</w:t>
      </w:r>
      <w:r>
        <w:rPr>
          <w:rFonts w:hint="eastAsia" w:ascii="黑体" w:hAnsi="黑体" w:eastAsia="黑体"/>
          <w:sz w:val="28"/>
          <w:szCs w:val="28"/>
        </w:rPr>
        <w:t xml:space="preserve"> display electric measuring instruments </w:t>
      </w:r>
    </w:p>
    <w:p w14:paraId="270AD395">
      <w:pPr>
        <w:jc w:val="center"/>
        <w:rPr>
          <w:rFonts w:ascii="黑体" w:hAnsi="黑体" w:eastAsia="黑体" w:cs="黑体"/>
          <w:sz w:val="36"/>
          <w:szCs w:val="36"/>
        </w:rPr>
      </w:pPr>
      <w:r>
        <w:rPr>
          <w:rFonts w:hint="eastAsia" w:ascii="黑体" w:hAnsi="黑体" w:eastAsia="黑体" w:cs="黑体"/>
          <w:sz w:val="36"/>
          <w:szCs w:val="36"/>
        </w:rPr>
        <w:t>（</w:t>
      </w:r>
      <w:r>
        <w:rPr>
          <w:rFonts w:hint="eastAsia" w:ascii="黑体" w:hAnsi="黑体" w:eastAsia="黑体" w:cs="黑体"/>
          <w:sz w:val="36"/>
          <w:szCs w:val="36"/>
          <w:lang w:val="en-US" w:eastAsia="zh-CN"/>
        </w:rPr>
        <w:t>报批</w:t>
      </w:r>
      <w:r>
        <w:rPr>
          <w:rFonts w:hint="eastAsia" w:ascii="黑体" w:hAnsi="黑体" w:eastAsia="黑体" w:cs="黑体"/>
          <w:sz w:val="36"/>
          <w:szCs w:val="36"/>
        </w:rPr>
        <w:t>稿）</w:t>
      </w:r>
    </w:p>
    <w:p w14:paraId="5C389CC2">
      <w:pPr>
        <w:rPr>
          <w:rFonts w:ascii="Times New Roman" w:hAnsi="Times New Roman"/>
          <w:szCs w:val="20"/>
        </w:rPr>
      </w:pPr>
    </w:p>
    <w:p w14:paraId="4003EB86">
      <w:pPr>
        <w:rPr>
          <w:rFonts w:ascii="Times New Roman" w:hAnsi="Times New Roman"/>
          <w:szCs w:val="20"/>
        </w:rPr>
      </w:pPr>
    </w:p>
    <w:p w14:paraId="72011A1F">
      <w:pPr>
        <w:spacing w:line="360" w:lineRule="auto"/>
        <w:rPr>
          <w:rFonts w:ascii="Times New Roman" w:hAnsi="Times New Roman"/>
          <w:szCs w:val="20"/>
        </w:rPr>
      </w:pPr>
    </w:p>
    <w:p w14:paraId="1B938C90">
      <w:pPr>
        <w:spacing w:line="360" w:lineRule="auto"/>
        <w:rPr>
          <w:rFonts w:ascii="Times New Roman" w:hAnsi="Times New Roman"/>
          <w:szCs w:val="20"/>
        </w:rPr>
      </w:pPr>
    </w:p>
    <w:p w14:paraId="634BB268">
      <w:pPr>
        <w:rPr>
          <w:rFonts w:ascii="Times New Roman" w:hAnsi="Times New Roman"/>
          <w:szCs w:val="20"/>
        </w:rPr>
      </w:pPr>
    </w:p>
    <w:p w14:paraId="1D0EAF91">
      <w:pPr>
        <w:rPr>
          <w:rFonts w:ascii="Times New Roman" w:hAnsi="Times New Roman"/>
          <w:szCs w:val="20"/>
        </w:rPr>
      </w:pPr>
    </w:p>
    <w:p w14:paraId="03C4A234">
      <w:pPr>
        <w:rPr>
          <w:rFonts w:ascii="Times New Roman" w:hAnsi="Times New Roman"/>
          <w:szCs w:val="20"/>
        </w:rPr>
      </w:pPr>
    </w:p>
    <w:p w14:paraId="2168CBF0">
      <w:pPr>
        <w:ind w:firstLine="440" w:firstLineChars="100"/>
        <w:rPr>
          <w:rFonts w:ascii="黑体" w:hAnsi="黑体" w:eastAsia="黑体" w:cs="黑体"/>
          <w:color w:val="000000"/>
          <w:sz w:val="28"/>
          <w:szCs w:val="28"/>
          <w:u w:val="single"/>
        </w:rPr>
      </w:pPr>
      <w:r>
        <w:rPr>
          <w:rFonts w:ascii="黑体" w:hAnsi="黑体" w:eastAsia="黑体" w:cs="黑体"/>
          <w:color w:val="000000"/>
          <w:sz w:val="44"/>
          <w:szCs w:val="44"/>
        </w:rPr>
        <w:pict>
          <v:line id="_x0000_s1044" o:spid="_x0000_s1044" o:spt="20" style="position:absolute;left:0pt;flip:y;margin-left:9pt;margin-top:30.5pt;height:0.7pt;width:421.45pt;z-index:251662336;mso-width-relative:page;mso-height-relative:page;" coordsize="21600,21600" o:gfxdata="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sFE701QAAAAgBAAAPAAAAAAAAAAEAIAAAACIAAABkcnMvZG93&#10;bnJldi54bWxQSwECFAAUAAAACACHTuJAVNMPIQMCAAD/AwAADgAAAAAAAAABACAAAAAkAQAAZHJz&#10;L2Uyb0RvYy54bWxQSwUGAAAAAAYABgBZAQAAmQUAAAAA&#10;">
            <v:path arrowok="t"/>
            <v:fill focussize="0,0"/>
            <v:stroke/>
            <v:imagedata o:title=""/>
            <o:lock v:ext="edit"/>
          </v:line>
        </w:pict>
      </w:r>
      <w:r>
        <w:rPr>
          <w:rFonts w:hint="eastAsia" w:ascii="黑体" w:hAnsi="黑体" w:eastAsia="黑体" w:cs="黑体"/>
          <w:color w:val="000000"/>
          <w:sz w:val="28"/>
          <w:szCs w:val="28"/>
        </w:rPr>
        <w:t>XXXX-XX-XX发布                         XXXX-XX-XX实施</w:t>
      </w:r>
    </w:p>
    <w:p w14:paraId="28FA3297">
      <w:pPr>
        <w:spacing w:line="440" w:lineRule="exact"/>
        <w:ind w:firstLine="1352" w:firstLineChars="200"/>
        <w:rPr>
          <w:rFonts w:ascii="黑体" w:hAnsi="黑体" w:eastAsia="黑体" w:cs="黑体"/>
          <w:color w:val="000000"/>
          <w:spacing w:val="26"/>
          <w:w w:val="120"/>
          <w:sz w:val="52"/>
          <w:szCs w:val="44"/>
        </w:rPr>
      </w:pPr>
    </w:p>
    <w:p w14:paraId="75DE5864">
      <w:pPr>
        <w:spacing w:before="240" w:line="440" w:lineRule="exact"/>
        <w:ind w:firstLine="1160" w:firstLineChars="200"/>
        <w:rPr>
          <w:rFonts w:ascii="黑体" w:hAnsi="黑体" w:eastAsia="黑体" w:cs="黑体"/>
          <w:color w:val="000000"/>
          <w:spacing w:val="26"/>
          <w:sz w:val="28"/>
          <w:szCs w:val="28"/>
        </w:rPr>
        <w:sectPr>
          <w:footerReference r:id="rId3" w:type="default"/>
          <w:pgSz w:w="11906" w:h="16838"/>
          <w:pgMar w:top="1440" w:right="1800" w:bottom="1440" w:left="1800" w:header="851" w:footer="992" w:gutter="0"/>
          <w:cols w:space="720" w:num="1"/>
          <w:docGrid w:type="lines" w:linePitch="312" w:charSpace="0"/>
        </w:sectPr>
      </w:pPr>
      <w:r>
        <w:rPr>
          <w:rFonts w:hint="eastAsia" w:ascii="黑体" w:hAnsi="黑体" w:eastAsia="黑体" w:cs="黑体"/>
          <w:color w:val="000000"/>
          <w:spacing w:val="26"/>
          <w:w w:val="120"/>
          <w:sz w:val="44"/>
          <w:szCs w:val="44"/>
        </w:rPr>
        <w:t>安徽省市场监督管理局</w:t>
      </w:r>
      <w:r>
        <w:rPr>
          <w:rFonts w:hint="eastAsia" w:ascii="黑体" w:hAnsi="黑体" w:eastAsia="黑体" w:cs="黑体"/>
          <w:color w:val="000000"/>
          <w:spacing w:val="26"/>
          <w:sz w:val="28"/>
          <w:szCs w:val="28"/>
        </w:rPr>
        <w:t>发布</w:t>
      </w:r>
    </w:p>
    <w:p w14:paraId="35FD7337">
      <w:pPr>
        <w:tabs>
          <w:tab w:val="left" w:pos="7140"/>
        </w:tabs>
        <w:spacing w:line="360" w:lineRule="auto"/>
        <w:rPr>
          <w:rFonts w:ascii="Times New Roman" w:hAnsi="Times New Roman" w:eastAsia="黑体"/>
          <w:sz w:val="44"/>
          <w:szCs w:val="44"/>
        </w:rPr>
      </w:pPr>
      <w:r>
        <w:rPr>
          <w:rFonts w:ascii="Times New Roman" w:hAnsi="Times New Roman" w:eastAsia="黑体"/>
          <w:sz w:val="40"/>
          <w:szCs w:val="44"/>
        </w:rPr>
        <w:pict>
          <v:shape id="文本框 4" o:spid="_x0000_s1043" o:spt="202" type="#_x0000_t202" style="position:absolute;left:0pt;margin-left:331.4pt;margin-top:18.75pt;height:54pt;width:128.4pt;z-index:251659264;mso-width-relative:page;mso-height-relative:margin;" coordsize="21600,21600" o:gfxdata="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q9NaJ2QAAAAoBAAAPAAAAAAAAAAEAIAAAACIAAABkcnMvZG93bnJldi54bWxQSwECFAAU&#10;AAAACACHTuJAwjJSYykCAABvBAAADgAAAAAAAAABACAAAAAoAQAAZHJzL2Uyb0RvYy54bWxQSwUG&#10;AAAAAAYABgBZAQAAwwUAAAAA&#10;">
            <v:path/>
            <v:fill focussize="0,0"/>
            <v:stroke weight="1.5pt" dashstyle="1 1"/>
            <v:imagedata o:title=""/>
            <o:lock v:ext="edit"/>
            <v:textbox>
              <w:txbxContent>
                <w:p w14:paraId="1BF33729">
                  <w:pPr>
                    <w:jc w:val="center"/>
                    <w:rPr>
                      <w:rFonts w:ascii="黑体" w:hAnsi="黑体" w:eastAsia="黑体"/>
                    </w:rPr>
                  </w:pPr>
                  <w:r>
                    <w:rPr>
                      <w:rFonts w:ascii="黑体" w:hAnsi="黑体" w:eastAsia="黑体"/>
                      <w:bCs/>
                      <w:sz w:val="28"/>
                    </w:rPr>
                    <w:t>JJF</w:t>
                  </w:r>
                  <w:r>
                    <w:rPr>
                      <w:rFonts w:hint="eastAsia" w:ascii="黑体" w:hAnsi="黑体" w:eastAsia="黑体"/>
                      <w:bCs/>
                      <w:sz w:val="28"/>
                    </w:rPr>
                    <w:t>（皖）XX</w:t>
                  </w:r>
                  <w:r>
                    <w:rPr>
                      <w:rFonts w:ascii="黑体" w:hAnsi="黑体" w:eastAsia="黑体"/>
                      <w:bCs/>
                      <w:sz w:val="28"/>
                    </w:rPr>
                    <w:t>XX-XXXX</w:t>
                  </w:r>
                </w:p>
              </w:txbxContent>
            </v:textbox>
          </v:shape>
        </w:pict>
      </w:r>
      <w:r>
        <w:rPr>
          <w:rFonts w:hint="eastAsia" w:ascii="Times New Roman" w:hAnsi="Times New Roman" w:eastAsia="黑体"/>
          <w:bCs/>
          <w:sz w:val="36"/>
          <w:szCs w:val="44"/>
        </w:rPr>
        <w:t>安装式数字显示电测量仪表在线校准规范</w:t>
      </w:r>
    </w:p>
    <w:p w14:paraId="50C652FD">
      <w:pPr>
        <w:rPr>
          <w:rFonts w:ascii="黑体" w:hAnsi="黑体" w:eastAsia="黑体"/>
          <w:sz w:val="28"/>
          <w:szCs w:val="28"/>
        </w:rPr>
      </w:pPr>
      <w:r>
        <w:rPr>
          <w:rFonts w:ascii="黑体" w:hAnsi="黑体" w:eastAsia="黑体"/>
          <w:sz w:val="28"/>
          <w:szCs w:val="28"/>
        </w:rPr>
        <w:t>Online</w:t>
      </w:r>
      <w:r>
        <w:rPr>
          <w:sz w:val="24"/>
        </w:rPr>
        <w:pict>
          <v:line id="直线 5" o:spid="_x0000_s1042" o:spt="20" style="position:absolute;left:0pt;margin-left:-14.25pt;margin-top:57.75pt;height:0pt;width:467.7pt;z-index:251661312;mso-width-relative:page;mso-height-relative:page;" coordsize="21600,21600" o:gfxdata="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9qotjXAAAA&#10;CwEAAA8AAAAAAAAAAQAgAAAAIgAAAGRycy9kb3ducmV2LnhtbFBLAQIUABQAAAAIAIdO4kAeOxSf&#10;5QEAAN4DAAAOAAAAAAAAAAEAIAAAACYBAABkcnMvZTJvRG9jLnhtbFBLBQYAAAAABgAGAFkBAAB9&#10;BQAAAAA=&#10;">
            <v:path arrowok="t"/>
            <v:fill focussize="0,0"/>
            <v:stroke/>
            <v:imagedata o:title=""/>
            <o:lock v:ext="edit"/>
          </v:line>
        </w:pict>
      </w:r>
      <w:r>
        <w:rPr>
          <w:rFonts w:hint="eastAsia" w:ascii="黑体" w:hAnsi="黑体" w:eastAsia="黑体"/>
          <w:sz w:val="28"/>
          <w:szCs w:val="28"/>
        </w:rPr>
        <w:t xml:space="preserve"> </w:t>
      </w:r>
      <w:r>
        <w:rPr>
          <w:rFonts w:ascii="黑体" w:hAnsi="黑体" w:eastAsia="黑体"/>
          <w:sz w:val="28"/>
          <w:szCs w:val="28"/>
        </w:rPr>
        <w:t xml:space="preserve">Calibration </w:t>
      </w:r>
      <w:r>
        <w:rPr>
          <w:rFonts w:hint="eastAsia" w:ascii="黑体" w:hAnsi="黑体" w:eastAsia="黑体"/>
          <w:sz w:val="28"/>
          <w:szCs w:val="28"/>
        </w:rPr>
        <w:t>s</w:t>
      </w:r>
      <w:r>
        <w:rPr>
          <w:rFonts w:ascii="黑体" w:hAnsi="黑体" w:eastAsia="黑体"/>
          <w:sz w:val="28"/>
          <w:szCs w:val="28"/>
        </w:rPr>
        <w:t xml:space="preserve">pecification for </w:t>
      </w:r>
      <w:r>
        <w:rPr>
          <w:rFonts w:hint="eastAsia" w:ascii="黑体" w:hAnsi="黑体" w:eastAsia="黑体"/>
          <w:sz w:val="28"/>
          <w:szCs w:val="28"/>
        </w:rPr>
        <w:t>Mounted</w:t>
      </w:r>
    </w:p>
    <w:p w14:paraId="47F18D2D">
      <w:pPr>
        <w:rPr>
          <w:rFonts w:ascii="黑体" w:hAnsi="黑体" w:eastAsia="黑体"/>
          <w:sz w:val="28"/>
          <w:szCs w:val="28"/>
        </w:rPr>
      </w:pPr>
      <w:r>
        <w:rPr>
          <w:rFonts w:ascii="黑体" w:hAnsi="黑体" w:eastAsia="黑体"/>
          <w:sz w:val="28"/>
          <w:szCs w:val="28"/>
        </w:rPr>
        <w:t>digital</w:t>
      </w:r>
      <w:r>
        <w:rPr>
          <w:rFonts w:hint="eastAsia" w:ascii="黑体" w:hAnsi="黑体" w:eastAsia="黑体"/>
          <w:sz w:val="28"/>
          <w:szCs w:val="28"/>
        </w:rPr>
        <w:t xml:space="preserve"> display electric measuring instruments</w:t>
      </w:r>
    </w:p>
    <w:p w14:paraId="2D8D0A9F">
      <w:pPr>
        <w:pStyle w:val="4"/>
        <w:spacing w:line="360" w:lineRule="auto"/>
        <w:ind w:left="479" w:leftChars="228"/>
        <w:rPr>
          <w:rFonts w:ascii="Times New Roman" w:hAnsi="Times New Roman"/>
          <w:sz w:val="24"/>
          <w:szCs w:val="24"/>
        </w:rPr>
      </w:pPr>
    </w:p>
    <w:p w14:paraId="197D6DDE">
      <w:pPr>
        <w:pStyle w:val="4"/>
        <w:rPr>
          <w:rFonts w:ascii="Times New Roman" w:hAnsi="Times New Roman"/>
          <w:sz w:val="24"/>
        </w:rPr>
      </w:pPr>
    </w:p>
    <w:p w14:paraId="100051BB">
      <w:pPr>
        <w:pStyle w:val="4"/>
        <w:rPr>
          <w:rFonts w:ascii="Times New Roman" w:hAnsi="Times New Roman"/>
          <w:sz w:val="24"/>
        </w:rPr>
      </w:pPr>
    </w:p>
    <w:p w14:paraId="438814E0">
      <w:pPr>
        <w:pStyle w:val="4"/>
        <w:rPr>
          <w:rFonts w:ascii="Times New Roman" w:hAnsi="Times New Roman"/>
          <w:sz w:val="24"/>
        </w:rPr>
      </w:pPr>
    </w:p>
    <w:p w14:paraId="7D674D46">
      <w:pPr>
        <w:pStyle w:val="4"/>
        <w:rPr>
          <w:rFonts w:ascii="Times New Roman" w:hAnsi="Times New Roman"/>
          <w:sz w:val="24"/>
        </w:rPr>
      </w:pPr>
    </w:p>
    <w:p w14:paraId="78295FE0">
      <w:pPr>
        <w:pStyle w:val="4"/>
        <w:rPr>
          <w:rFonts w:ascii="Times New Roman" w:hAnsi="Times New Roman"/>
          <w:sz w:val="24"/>
        </w:rPr>
      </w:pPr>
    </w:p>
    <w:p w14:paraId="358CB555">
      <w:pPr>
        <w:pStyle w:val="4"/>
        <w:rPr>
          <w:rFonts w:ascii="Times New Roman" w:hAnsi="Times New Roman"/>
          <w:sz w:val="24"/>
        </w:rPr>
      </w:pPr>
    </w:p>
    <w:p w14:paraId="5D8AC929">
      <w:pPr>
        <w:pStyle w:val="4"/>
        <w:rPr>
          <w:rFonts w:ascii="Times New Roman" w:hAnsi="Times New Roman"/>
          <w:sz w:val="24"/>
        </w:rPr>
      </w:pPr>
    </w:p>
    <w:p w14:paraId="3B8FC381">
      <w:pPr>
        <w:widowControl/>
        <w:spacing w:before="100" w:beforeAutospacing="1" w:after="100" w:afterAutospacing="1" w:line="400" w:lineRule="exact"/>
        <w:ind w:right="57" w:firstLine="1522" w:firstLineChars="331"/>
        <w:jc w:val="left"/>
        <w:rPr>
          <w:rFonts w:ascii="宋体"/>
          <w:sz w:val="28"/>
        </w:rPr>
      </w:pPr>
      <w:r>
        <w:rPr>
          <w:rFonts w:hint="eastAsia" w:ascii="黑体" w:hAnsi="黑体" w:eastAsia="黑体"/>
          <w:spacing w:val="90"/>
          <w:sz w:val="28"/>
        </w:rPr>
        <w:t>归口单位</w:t>
      </w:r>
      <w:r>
        <w:rPr>
          <w:rFonts w:hint="eastAsia" w:ascii="黑体" w:hAnsi="黑体" w:eastAsia="黑体"/>
          <w:sz w:val="28"/>
        </w:rPr>
        <w:t>：</w:t>
      </w:r>
      <w:r>
        <w:rPr>
          <w:rFonts w:hint="eastAsia" w:ascii="Times New Roman" w:hAnsi="Times New Roman"/>
          <w:sz w:val="28"/>
          <w:szCs w:val="28"/>
        </w:rPr>
        <w:t>安徽省电磁计量</w:t>
      </w:r>
      <w:r>
        <w:rPr>
          <w:rFonts w:hint="eastAsia" w:ascii="Times New Roman" w:hAnsi="Times New Roman"/>
          <w:sz w:val="28"/>
          <w:szCs w:val="28"/>
          <w:lang w:val="en-US" w:eastAsia="zh-CN"/>
        </w:rPr>
        <w:t>技术</w:t>
      </w:r>
      <w:r>
        <w:rPr>
          <w:rFonts w:hint="eastAsia" w:ascii="Times New Roman" w:hAnsi="Times New Roman"/>
          <w:sz w:val="28"/>
          <w:szCs w:val="28"/>
        </w:rPr>
        <w:t>委员会</w:t>
      </w:r>
    </w:p>
    <w:p w14:paraId="1F77B464">
      <w:pPr>
        <w:widowControl/>
        <w:spacing w:before="100" w:beforeAutospacing="1" w:after="100" w:afterAutospacing="1" w:line="400" w:lineRule="exact"/>
        <w:ind w:right="57" w:firstLine="1486" w:firstLineChars="531"/>
        <w:jc w:val="left"/>
        <w:rPr>
          <w:rFonts w:ascii="宋体" w:hAnsi="宋体"/>
          <w:sz w:val="28"/>
        </w:rPr>
      </w:pPr>
      <w:r>
        <w:rPr>
          <w:rFonts w:hint="eastAsia" w:ascii="黑体" w:hAnsi="黑体" w:eastAsia="黑体"/>
          <w:sz w:val="28"/>
        </w:rPr>
        <w:t>主要起草单</w:t>
      </w:r>
      <w:r>
        <w:rPr>
          <w:rFonts w:hint="eastAsia" w:ascii="黑体" w:hAnsi="黑体" w:eastAsia="黑体"/>
          <w:spacing w:val="90"/>
          <w:sz w:val="28"/>
        </w:rPr>
        <w:t>位</w:t>
      </w:r>
      <w:r>
        <w:rPr>
          <w:rFonts w:hint="eastAsia" w:ascii="黑体" w:hAnsi="黑体" w:eastAsia="黑体"/>
          <w:sz w:val="28"/>
        </w:rPr>
        <w:t>：</w:t>
      </w:r>
      <w:r>
        <w:rPr>
          <w:rFonts w:hint="eastAsia" w:ascii="宋体" w:hAnsi="宋体"/>
          <w:sz w:val="28"/>
        </w:rPr>
        <w:t>马鞍山市计量测试研究所</w:t>
      </w:r>
    </w:p>
    <w:p w14:paraId="43A27F91">
      <w:pPr>
        <w:widowControl/>
        <w:spacing w:before="100" w:beforeAutospacing="1" w:after="100" w:afterAutospacing="1" w:line="400" w:lineRule="exact"/>
        <w:ind w:right="57" w:firstLine="1486" w:firstLineChars="531"/>
        <w:jc w:val="left"/>
        <w:rPr>
          <w:rFonts w:ascii="宋体" w:hAnsi="宋体" w:eastAsia="黑体"/>
          <w:sz w:val="28"/>
        </w:rPr>
      </w:pPr>
      <w:r>
        <w:rPr>
          <w:rFonts w:hint="eastAsia" w:ascii="黑体" w:hAnsi="黑体" w:eastAsia="黑体"/>
          <w:sz w:val="28"/>
        </w:rPr>
        <w:t>参加起草单</w:t>
      </w:r>
      <w:r>
        <w:rPr>
          <w:rFonts w:hint="eastAsia" w:ascii="黑体" w:hAnsi="黑体" w:eastAsia="黑体"/>
          <w:spacing w:val="90"/>
          <w:sz w:val="28"/>
        </w:rPr>
        <w:t>位</w:t>
      </w:r>
      <w:r>
        <w:rPr>
          <w:rFonts w:hint="eastAsia" w:ascii="黑体" w:hAnsi="黑体" w:eastAsia="黑体"/>
          <w:sz w:val="28"/>
        </w:rPr>
        <w:t>：</w:t>
      </w:r>
      <w:r>
        <w:rPr>
          <w:rFonts w:hint="eastAsia" w:ascii="宋体" w:hAnsi="宋体"/>
          <w:sz w:val="28"/>
        </w:rPr>
        <w:t>马鞍山钢铁股份有限公司</w:t>
      </w:r>
    </w:p>
    <w:p w14:paraId="6482E605">
      <w:pPr>
        <w:widowControl/>
        <w:spacing w:before="100" w:beforeAutospacing="1" w:after="100" w:afterAutospacing="1" w:line="400" w:lineRule="exact"/>
        <w:ind w:right="57" w:firstLine="3726" w:firstLineChars="1331"/>
        <w:jc w:val="left"/>
        <w:rPr>
          <w:rFonts w:ascii="宋体" w:hAnsi="宋体"/>
          <w:sz w:val="28"/>
        </w:rPr>
      </w:pPr>
    </w:p>
    <w:p w14:paraId="1231A4FD">
      <w:pPr>
        <w:widowControl/>
        <w:spacing w:before="100" w:beforeAutospacing="1" w:after="100" w:afterAutospacing="1" w:line="400" w:lineRule="exact"/>
        <w:ind w:right="57" w:firstLine="1486" w:firstLineChars="531"/>
        <w:jc w:val="left"/>
        <w:rPr>
          <w:rFonts w:ascii="宋体" w:hAnsi="宋体"/>
          <w:sz w:val="28"/>
        </w:rPr>
      </w:pPr>
    </w:p>
    <w:p w14:paraId="7BF79FC7">
      <w:pPr>
        <w:widowControl/>
        <w:spacing w:before="100" w:beforeAutospacing="1" w:after="100" w:afterAutospacing="1" w:line="400" w:lineRule="exact"/>
        <w:ind w:right="57" w:firstLine="1486" w:firstLineChars="531"/>
        <w:jc w:val="left"/>
        <w:rPr>
          <w:rFonts w:ascii="黑体" w:hAnsi="黑体" w:eastAsia="黑体"/>
          <w:sz w:val="28"/>
        </w:rPr>
      </w:pPr>
    </w:p>
    <w:p w14:paraId="6403C964">
      <w:pPr>
        <w:widowControl/>
        <w:spacing w:before="100" w:beforeAutospacing="1" w:after="100" w:afterAutospacing="1" w:line="400" w:lineRule="exact"/>
        <w:ind w:right="57" w:firstLine="1486" w:firstLineChars="531"/>
        <w:jc w:val="left"/>
        <w:rPr>
          <w:rFonts w:ascii="宋体" w:hAnsi="宋体"/>
          <w:sz w:val="28"/>
        </w:rPr>
      </w:pPr>
    </w:p>
    <w:p w14:paraId="0CA660D8">
      <w:pPr>
        <w:widowControl/>
        <w:spacing w:before="100" w:beforeAutospacing="1" w:after="100" w:afterAutospacing="1" w:line="400" w:lineRule="exact"/>
        <w:ind w:right="57" w:firstLine="1486" w:firstLineChars="531"/>
        <w:jc w:val="left"/>
        <w:rPr>
          <w:rFonts w:ascii="宋体" w:hAnsi="宋体"/>
          <w:sz w:val="28"/>
        </w:rPr>
      </w:pPr>
    </w:p>
    <w:p w14:paraId="50030DBA">
      <w:pPr>
        <w:widowControl/>
        <w:spacing w:before="100" w:beforeAutospacing="1" w:after="100" w:afterAutospacing="1" w:line="400" w:lineRule="exact"/>
        <w:ind w:right="57" w:firstLine="1486" w:firstLineChars="531"/>
        <w:jc w:val="left"/>
        <w:rPr>
          <w:rFonts w:ascii="宋体" w:hAnsi="宋体"/>
          <w:sz w:val="28"/>
        </w:rPr>
      </w:pPr>
    </w:p>
    <w:p w14:paraId="671BE5B8">
      <w:pPr>
        <w:widowControl/>
        <w:spacing w:before="100" w:beforeAutospacing="1" w:after="100" w:afterAutospacing="1" w:line="400" w:lineRule="exact"/>
        <w:ind w:right="57" w:firstLine="1486" w:firstLineChars="531"/>
        <w:jc w:val="left"/>
        <w:rPr>
          <w:rFonts w:ascii="宋体" w:hAnsi="宋体"/>
          <w:sz w:val="28"/>
        </w:rPr>
      </w:pPr>
    </w:p>
    <w:p w14:paraId="01D82EAB">
      <w:pPr>
        <w:widowControl/>
        <w:spacing w:before="100" w:beforeAutospacing="1" w:after="100" w:afterAutospacing="1" w:line="400" w:lineRule="exact"/>
        <w:ind w:right="57"/>
        <w:jc w:val="left"/>
        <w:rPr>
          <w:rFonts w:ascii="宋体" w:hAnsi="宋体"/>
          <w:sz w:val="28"/>
        </w:rPr>
      </w:pPr>
    </w:p>
    <w:p w14:paraId="571DCBA9">
      <w:pPr>
        <w:widowControl/>
        <w:spacing w:before="100" w:beforeAutospacing="1" w:after="100" w:afterAutospacing="1" w:line="400" w:lineRule="exact"/>
        <w:ind w:right="57"/>
        <w:jc w:val="left"/>
        <w:rPr>
          <w:rFonts w:ascii="宋体" w:hAnsi="宋体" w:eastAsia="黑体"/>
          <w:color w:val="000000"/>
          <w:sz w:val="28"/>
        </w:rPr>
      </w:pPr>
    </w:p>
    <w:p w14:paraId="38D64CDF">
      <w:pPr>
        <w:ind w:firstLine="1680" w:firstLineChars="600"/>
        <w:rPr>
          <w:rFonts w:ascii="Times New Roman" w:hAnsi="Times New Roman" w:eastAsia="黑体"/>
          <w:sz w:val="28"/>
          <w:szCs w:val="20"/>
        </w:rPr>
      </w:pPr>
      <w:r>
        <w:rPr>
          <w:rFonts w:hint="eastAsia" w:ascii="Times New Roman" w:hAnsi="Times New Roman"/>
          <w:sz w:val="28"/>
          <w:szCs w:val="28"/>
        </w:rPr>
        <w:t>本规范委托安徽省电磁计量</w:t>
      </w:r>
      <w:r>
        <w:rPr>
          <w:rFonts w:hint="eastAsia" w:ascii="Times New Roman" w:hAnsi="Times New Roman"/>
          <w:sz w:val="28"/>
          <w:szCs w:val="28"/>
          <w:lang w:val="en-US" w:eastAsia="zh-CN"/>
        </w:rPr>
        <w:t>技术</w:t>
      </w:r>
      <w:bookmarkStart w:id="0" w:name="_GoBack"/>
      <w:bookmarkEnd w:id="0"/>
      <w:r>
        <w:rPr>
          <w:rFonts w:hint="eastAsia" w:ascii="Times New Roman" w:hAnsi="Times New Roman"/>
          <w:sz w:val="28"/>
          <w:szCs w:val="28"/>
        </w:rPr>
        <w:t>委员会负责解释</w:t>
      </w:r>
    </w:p>
    <w:p w14:paraId="7FCF78CB">
      <w:pPr>
        <w:ind w:firstLine="280" w:firstLineChars="100"/>
        <w:rPr>
          <w:rFonts w:ascii="黑体" w:hAnsi="黑体" w:eastAsia="黑体" w:cs="黑体"/>
          <w:sz w:val="28"/>
          <w:szCs w:val="28"/>
        </w:rPr>
      </w:pPr>
      <w:r>
        <w:rPr>
          <w:rFonts w:hint="eastAsia" w:ascii="黑体" w:hAnsi="黑体" w:eastAsia="黑体" w:cs="黑体"/>
          <w:sz w:val="28"/>
          <w:szCs w:val="28"/>
        </w:rPr>
        <w:t>规范主要起草人：</w:t>
      </w:r>
    </w:p>
    <w:p w14:paraId="43D315BE">
      <w:pPr>
        <w:ind w:firstLine="1400" w:firstLineChars="500"/>
        <w:rPr>
          <w:rFonts w:ascii="宋体" w:hAnsi="宋体" w:cs="宋体"/>
          <w:sz w:val="28"/>
          <w:szCs w:val="28"/>
        </w:rPr>
      </w:pPr>
      <w:r>
        <w:rPr>
          <w:rFonts w:hint="eastAsia" w:ascii="宋体" w:hAnsi="宋体" w:cs="宋体"/>
          <w:sz w:val="28"/>
          <w:szCs w:val="28"/>
        </w:rPr>
        <w:t>赵  非（马鞍山市计量测试研究所）</w:t>
      </w:r>
    </w:p>
    <w:p w14:paraId="5B366DD0">
      <w:pPr>
        <w:rPr>
          <w:rFonts w:ascii="宋体" w:hAnsi="宋体" w:cs="宋体"/>
          <w:sz w:val="28"/>
          <w:szCs w:val="28"/>
        </w:rPr>
      </w:pPr>
      <w:r>
        <w:rPr>
          <w:rFonts w:hint="eastAsia" w:ascii="宋体" w:hAnsi="宋体" w:cs="宋体"/>
          <w:sz w:val="28"/>
          <w:szCs w:val="28"/>
        </w:rPr>
        <w:t xml:space="preserve">          陈  飞（马鞍山市计量测试研究所</w:t>
      </w:r>
      <w:r>
        <w:rPr>
          <w:rFonts w:ascii="宋体" w:hAnsi="宋体" w:cs="宋体"/>
          <w:sz w:val="28"/>
          <w:szCs w:val="28"/>
        </w:rPr>
        <w:t>）</w:t>
      </w:r>
    </w:p>
    <w:p w14:paraId="1E0612A4">
      <w:pPr>
        <w:rPr>
          <w:rFonts w:ascii="宋体" w:hAnsi="宋体" w:cs="宋体"/>
          <w:sz w:val="28"/>
          <w:szCs w:val="28"/>
        </w:rPr>
      </w:pPr>
      <w:r>
        <w:rPr>
          <w:rFonts w:hint="eastAsia" w:ascii="宋体" w:hAnsi="宋体" w:cs="宋体"/>
          <w:sz w:val="28"/>
          <w:szCs w:val="28"/>
        </w:rPr>
        <w:t xml:space="preserve">          杨宝华（马鞍山市计量测试研究所）</w:t>
      </w:r>
    </w:p>
    <w:p w14:paraId="7FA43A9D">
      <w:pPr>
        <w:rPr>
          <w:rFonts w:ascii="宋体" w:hAnsi="宋体" w:cs="宋体"/>
          <w:sz w:val="28"/>
          <w:szCs w:val="28"/>
        </w:rPr>
      </w:pPr>
      <w:r>
        <w:rPr>
          <w:rFonts w:hint="eastAsia" w:ascii="宋体" w:hAnsi="宋体" w:cs="宋体"/>
          <w:sz w:val="28"/>
          <w:szCs w:val="28"/>
        </w:rPr>
        <w:t xml:space="preserve">          吴龙升（</w:t>
      </w:r>
      <w:r>
        <w:rPr>
          <w:rFonts w:hint="eastAsia" w:ascii="宋体" w:hAnsi="宋体"/>
          <w:sz w:val="28"/>
        </w:rPr>
        <w:t>马鞍山钢铁股份有限公司</w:t>
      </w:r>
      <w:r>
        <w:rPr>
          <w:rFonts w:hint="eastAsia" w:ascii="宋体" w:hAnsi="宋体" w:cs="宋体"/>
          <w:sz w:val="28"/>
          <w:szCs w:val="28"/>
        </w:rPr>
        <w:t>）</w:t>
      </w:r>
    </w:p>
    <w:p w14:paraId="5D6E6DB8">
      <w:pPr>
        <w:rPr>
          <w:rFonts w:ascii="宋体" w:hAnsi="宋体" w:cs="宋体"/>
          <w:sz w:val="28"/>
          <w:szCs w:val="28"/>
        </w:rPr>
      </w:pPr>
      <w:r>
        <w:rPr>
          <w:rFonts w:hint="eastAsia" w:ascii="宋体" w:hAnsi="宋体" w:cs="宋体"/>
          <w:sz w:val="28"/>
          <w:szCs w:val="28"/>
        </w:rPr>
        <w:t xml:space="preserve">          张  力（马鞍山市计量测试研究所）</w:t>
      </w:r>
    </w:p>
    <w:p w14:paraId="1EC0416A">
      <w:pPr>
        <w:rPr>
          <w:rFonts w:ascii="黑体" w:hAnsi="黑体" w:eastAsia="黑体" w:cs="黑体"/>
          <w:sz w:val="28"/>
          <w:szCs w:val="28"/>
        </w:rPr>
      </w:pPr>
      <w:r>
        <w:rPr>
          <w:rFonts w:hint="eastAsia" w:ascii="黑体" w:hAnsi="黑体" w:eastAsia="黑体" w:cs="黑体"/>
          <w:sz w:val="28"/>
          <w:szCs w:val="28"/>
        </w:rPr>
        <w:t>参加起草人：</w:t>
      </w:r>
    </w:p>
    <w:p w14:paraId="1E8427CD">
      <w:pPr>
        <w:ind w:firstLine="1400" w:firstLineChars="500"/>
        <w:rPr>
          <w:rFonts w:ascii="黑体" w:hAnsi="黑体" w:eastAsia="黑体" w:cs="黑体"/>
          <w:sz w:val="28"/>
          <w:szCs w:val="28"/>
        </w:rPr>
      </w:pPr>
      <w:r>
        <w:rPr>
          <w:rFonts w:hint="eastAsia" w:ascii="宋体" w:hAnsi="宋体" w:cs="宋体"/>
          <w:sz w:val="28"/>
          <w:szCs w:val="28"/>
        </w:rPr>
        <w:t>王国伟（</w:t>
      </w:r>
      <w:r>
        <w:rPr>
          <w:rFonts w:hint="eastAsia" w:ascii="宋体" w:hAnsi="宋体"/>
          <w:sz w:val="28"/>
        </w:rPr>
        <w:t>马鞍山钢铁股份有限公司</w:t>
      </w:r>
      <w:r>
        <w:rPr>
          <w:rFonts w:hint="eastAsia" w:ascii="宋体" w:hAnsi="宋体" w:cs="宋体"/>
          <w:sz w:val="28"/>
          <w:szCs w:val="28"/>
        </w:rPr>
        <w:t>）</w:t>
      </w:r>
    </w:p>
    <w:p w14:paraId="15B7E0D8">
      <w:pPr>
        <w:ind w:firstLine="1400" w:firstLineChars="500"/>
        <w:rPr>
          <w:rFonts w:ascii="宋体" w:hAnsi="宋体" w:cs="宋体"/>
          <w:sz w:val="28"/>
          <w:szCs w:val="28"/>
        </w:rPr>
      </w:pPr>
      <w:r>
        <w:rPr>
          <w:rFonts w:hint="eastAsia" w:ascii="宋体" w:hAnsi="宋体" w:cs="宋体"/>
          <w:sz w:val="28"/>
          <w:szCs w:val="28"/>
        </w:rPr>
        <w:t>周东鸣（</w:t>
      </w:r>
      <w:r>
        <w:rPr>
          <w:rFonts w:hint="eastAsia" w:ascii="宋体" w:hAnsi="宋体"/>
          <w:sz w:val="28"/>
        </w:rPr>
        <w:t>马鞍山钢铁股份有限公司</w:t>
      </w:r>
      <w:r>
        <w:rPr>
          <w:rFonts w:hint="eastAsia" w:ascii="宋体" w:hAnsi="宋体" w:cs="宋体"/>
          <w:sz w:val="28"/>
          <w:szCs w:val="28"/>
        </w:rPr>
        <w:t>）</w:t>
      </w:r>
    </w:p>
    <w:p w14:paraId="5643A9AB">
      <w:pPr>
        <w:ind w:firstLine="1400" w:firstLineChars="500"/>
        <w:rPr>
          <w:rFonts w:ascii="宋体" w:hAnsi="宋体" w:cs="宋体"/>
          <w:sz w:val="28"/>
          <w:szCs w:val="28"/>
        </w:rPr>
      </w:pPr>
    </w:p>
    <w:p w14:paraId="76F2D5B3">
      <w:pPr>
        <w:rPr>
          <w:rFonts w:ascii="宋体" w:cs="宋体"/>
          <w:sz w:val="28"/>
          <w:szCs w:val="28"/>
        </w:rPr>
      </w:pPr>
    </w:p>
    <w:p w14:paraId="387168AE">
      <w:pPr>
        <w:ind w:firstLine="1400" w:firstLineChars="500"/>
        <w:rPr>
          <w:rFonts w:ascii="黑体" w:hAnsi="黑体" w:eastAsia="黑体" w:cs="黑体"/>
          <w:sz w:val="28"/>
          <w:szCs w:val="28"/>
        </w:rPr>
      </w:pPr>
    </w:p>
    <w:p w14:paraId="07C94237">
      <w:pPr>
        <w:ind w:firstLine="840"/>
        <w:rPr>
          <w:rFonts w:ascii="黑体" w:hAnsi="Courier New" w:eastAsia="黑体"/>
          <w:color w:val="000000"/>
          <w:sz w:val="28"/>
        </w:rPr>
      </w:pPr>
    </w:p>
    <w:p w14:paraId="45B310B6">
      <w:pPr>
        <w:pStyle w:val="4"/>
        <w:tabs>
          <w:tab w:val="left" w:pos="8100"/>
        </w:tabs>
        <w:spacing w:line="560" w:lineRule="exact"/>
        <w:ind w:right="206" w:rightChars="98"/>
        <w:jc w:val="center"/>
        <w:rPr>
          <w:rFonts w:ascii="Times New Roman" w:hAnsi="Times New Roman" w:eastAsia="黑体"/>
          <w:sz w:val="44"/>
        </w:rPr>
        <w:sectPr>
          <w:headerReference r:id="rId5" w:type="first"/>
          <w:headerReference r:id="rId4" w:type="default"/>
          <w:pgSz w:w="11906" w:h="16838"/>
          <w:pgMar w:top="1440" w:right="1469" w:bottom="1440" w:left="1622" w:header="851" w:footer="992" w:gutter="0"/>
          <w:pgNumType w:fmt="upperRoman" w:start="4"/>
          <w:cols w:space="720" w:num="1"/>
          <w:titlePg/>
          <w:docGrid w:type="lines" w:linePitch="312" w:charSpace="0"/>
        </w:sectPr>
      </w:pPr>
    </w:p>
    <w:p w14:paraId="7472836B">
      <w:pPr>
        <w:pStyle w:val="4"/>
        <w:tabs>
          <w:tab w:val="left" w:pos="8100"/>
        </w:tabs>
        <w:spacing w:line="440" w:lineRule="exact"/>
        <w:ind w:right="206" w:rightChars="98"/>
        <w:jc w:val="center"/>
        <w:rPr>
          <w:rFonts w:ascii="Times New Roman" w:hAnsi="Times New Roman" w:eastAsia="黑体"/>
          <w:sz w:val="44"/>
        </w:rPr>
      </w:pPr>
      <w:r>
        <w:rPr>
          <w:rFonts w:hint="eastAsia" w:ascii="Times New Roman" w:hAnsi="Times New Roman" w:eastAsia="黑体"/>
          <w:sz w:val="44"/>
        </w:rPr>
        <w:t>目录</w:t>
      </w:r>
    </w:p>
    <w:p w14:paraId="20BE990E">
      <w:pPr>
        <w:pStyle w:val="4"/>
        <w:tabs>
          <w:tab w:val="left" w:pos="8100"/>
        </w:tabs>
        <w:spacing w:line="440" w:lineRule="exact"/>
        <w:ind w:right="206" w:rightChars="98"/>
        <w:jc w:val="center"/>
        <w:rPr>
          <w:rFonts w:ascii="Times New Roman" w:hAnsi="Times New Roman" w:eastAsia="黑体"/>
          <w:sz w:val="44"/>
        </w:rPr>
      </w:pPr>
    </w:p>
    <w:tbl>
      <w:tblPr>
        <w:tblStyle w:val="10"/>
        <w:tblW w:w="8897" w:type="dxa"/>
        <w:tblInd w:w="0" w:type="dxa"/>
        <w:tblLayout w:type="fixed"/>
        <w:tblCellMar>
          <w:top w:w="0" w:type="dxa"/>
          <w:left w:w="108" w:type="dxa"/>
          <w:bottom w:w="0" w:type="dxa"/>
          <w:right w:w="108" w:type="dxa"/>
        </w:tblCellMar>
      </w:tblPr>
      <w:tblGrid>
        <w:gridCol w:w="8188"/>
        <w:gridCol w:w="709"/>
      </w:tblGrid>
      <w:tr w14:paraId="3FE8117C">
        <w:tblPrEx>
          <w:tblCellMar>
            <w:top w:w="0" w:type="dxa"/>
            <w:left w:w="108" w:type="dxa"/>
            <w:bottom w:w="0" w:type="dxa"/>
            <w:right w:w="108" w:type="dxa"/>
          </w:tblCellMar>
        </w:tblPrEx>
        <w:trPr>
          <w:trHeight w:val="585" w:hRule="exact"/>
        </w:trPr>
        <w:tc>
          <w:tcPr>
            <w:tcW w:w="8188" w:type="dxa"/>
            <w:vAlign w:val="center"/>
          </w:tcPr>
          <w:p w14:paraId="5FEC3316">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引言…………………………………………………………………………………</w:t>
            </w:r>
          </w:p>
        </w:tc>
        <w:tc>
          <w:tcPr>
            <w:tcW w:w="709" w:type="dxa"/>
            <w:vAlign w:val="center"/>
          </w:tcPr>
          <w:p w14:paraId="0F66A22C">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(II)</w:t>
            </w:r>
          </w:p>
        </w:tc>
      </w:tr>
      <w:tr w14:paraId="6F159E56">
        <w:tblPrEx>
          <w:tblCellMar>
            <w:top w:w="0" w:type="dxa"/>
            <w:left w:w="108" w:type="dxa"/>
            <w:bottom w:w="0" w:type="dxa"/>
            <w:right w:w="108" w:type="dxa"/>
          </w:tblCellMar>
        </w:tblPrEx>
        <w:trPr>
          <w:trHeight w:val="567" w:hRule="exact"/>
        </w:trPr>
        <w:tc>
          <w:tcPr>
            <w:tcW w:w="8188" w:type="dxa"/>
            <w:vAlign w:val="center"/>
          </w:tcPr>
          <w:p w14:paraId="5F24753F">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1 范围………………………………………………………………………………</w:t>
            </w:r>
          </w:p>
        </w:tc>
        <w:tc>
          <w:tcPr>
            <w:tcW w:w="709" w:type="dxa"/>
            <w:vAlign w:val="center"/>
          </w:tcPr>
          <w:p w14:paraId="70C1D1D0">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(1)</w:t>
            </w:r>
          </w:p>
        </w:tc>
      </w:tr>
      <w:tr w14:paraId="24F122EA">
        <w:tblPrEx>
          <w:tblCellMar>
            <w:top w:w="0" w:type="dxa"/>
            <w:left w:w="108" w:type="dxa"/>
            <w:bottom w:w="0" w:type="dxa"/>
            <w:right w:w="108" w:type="dxa"/>
          </w:tblCellMar>
        </w:tblPrEx>
        <w:trPr>
          <w:trHeight w:val="560" w:hRule="exact"/>
        </w:trPr>
        <w:tc>
          <w:tcPr>
            <w:tcW w:w="8188" w:type="dxa"/>
            <w:vAlign w:val="center"/>
          </w:tcPr>
          <w:p w14:paraId="5562AA64">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2引用文件…………………………………………………………………………</w:t>
            </w:r>
          </w:p>
        </w:tc>
        <w:tc>
          <w:tcPr>
            <w:tcW w:w="709" w:type="dxa"/>
            <w:vAlign w:val="center"/>
          </w:tcPr>
          <w:p w14:paraId="1B09BCF3">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(1)</w:t>
            </w:r>
          </w:p>
          <w:p w14:paraId="50D1560F">
            <w:pPr>
              <w:pStyle w:val="4"/>
              <w:tabs>
                <w:tab w:val="left" w:pos="8280"/>
              </w:tabs>
              <w:spacing w:line="360" w:lineRule="auto"/>
              <w:ind w:right="-107" w:rightChars="-51"/>
              <w:jc w:val="center"/>
              <w:rPr>
                <w:rFonts w:hAnsi="宋体" w:cs="宋体"/>
                <w:sz w:val="24"/>
                <w:szCs w:val="24"/>
                <w:shd w:val="clear" w:color="auto" w:fill="FFFFFF"/>
              </w:rPr>
            </w:pPr>
          </w:p>
        </w:tc>
      </w:tr>
      <w:tr w14:paraId="1E037652">
        <w:tblPrEx>
          <w:tblCellMar>
            <w:top w:w="0" w:type="dxa"/>
            <w:left w:w="108" w:type="dxa"/>
            <w:bottom w:w="0" w:type="dxa"/>
            <w:right w:w="108" w:type="dxa"/>
          </w:tblCellMar>
        </w:tblPrEx>
        <w:trPr>
          <w:trHeight w:val="568" w:hRule="exact"/>
        </w:trPr>
        <w:tc>
          <w:tcPr>
            <w:tcW w:w="8188" w:type="dxa"/>
            <w:vAlign w:val="center"/>
          </w:tcPr>
          <w:p w14:paraId="6DE8A519">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3术语和计量单位…………………………………………………………………</w:t>
            </w:r>
          </w:p>
        </w:tc>
        <w:tc>
          <w:tcPr>
            <w:tcW w:w="709" w:type="dxa"/>
            <w:vAlign w:val="center"/>
          </w:tcPr>
          <w:p w14:paraId="2624008F">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(1)</w:t>
            </w:r>
          </w:p>
          <w:p w14:paraId="06D76956">
            <w:pPr>
              <w:pStyle w:val="4"/>
              <w:tabs>
                <w:tab w:val="left" w:pos="8280"/>
              </w:tabs>
              <w:spacing w:line="360" w:lineRule="auto"/>
              <w:ind w:right="-107" w:rightChars="-51"/>
              <w:jc w:val="center"/>
              <w:rPr>
                <w:rFonts w:hAnsi="宋体" w:cs="宋体"/>
                <w:sz w:val="24"/>
                <w:szCs w:val="24"/>
                <w:shd w:val="clear" w:color="auto" w:fill="FFFFFF"/>
              </w:rPr>
            </w:pPr>
          </w:p>
        </w:tc>
      </w:tr>
      <w:tr w14:paraId="5228A3E7">
        <w:tblPrEx>
          <w:tblCellMar>
            <w:top w:w="0" w:type="dxa"/>
            <w:left w:w="108" w:type="dxa"/>
            <w:bottom w:w="0" w:type="dxa"/>
            <w:right w:w="108" w:type="dxa"/>
          </w:tblCellMar>
        </w:tblPrEx>
        <w:trPr>
          <w:trHeight w:val="577" w:hRule="exact"/>
        </w:trPr>
        <w:tc>
          <w:tcPr>
            <w:tcW w:w="8188" w:type="dxa"/>
            <w:vAlign w:val="center"/>
          </w:tcPr>
          <w:p w14:paraId="2C159385">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3.1 电测量仪表……………………………………………………………………</w:t>
            </w:r>
          </w:p>
        </w:tc>
        <w:tc>
          <w:tcPr>
            <w:tcW w:w="709" w:type="dxa"/>
            <w:vAlign w:val="center"/>
          </w:tcPr>
          <w:p w14:paraId="356A3254">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(1)</w:t>
            </w:r>
          </w:p>
        </w:tc>
      </w:tr>
      <w:tr w14:paraId="146404EA">
        <w:tblPrEx>
          <w:tblCellMar>
            <w:top w:w="0" w:type="dxa"/>
            <w:left w:w="108" w:type="dxa"/>
            <w:bottom w:w="0" w:type="dxa"/>
            <w:right w:w="108" w:type="dxa"/>
          </w:tblCellMar>
        </w:tblPrEx>
        <w:trPr>
          <w:trHeight w:val="556" w:hRule="exact"/>
        </w:trPr>
        <w:tc>
          <w:tcPr>
            <w:tcW w:w="8188" w:type="dxa"/>
            <w:vAlign w:val="center"/>
          </w:tcPr>
          <w:p w14:paraId="275AC90C">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3.2 相对示值误差…………………………………………………………………率……………………………………………………………………</w:t>
            </w:r>
          </w:p>
        </w:tc>
        <w:tc>
          <w:tcPr>
            <w:tcW w:w="709" w:type="dxa"/>
            <w:vAlign w:val="center"/>
          </w:tcPr>
          <w:p w14:paraId="1B67702D">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(1)</w:t>
            </w:r>
          </w:p>
        </w:tc>
      </w:tr>
      <w:tr w14:paraId="7F7BF24F">
        <w:tblPrEx>
          <w:tblCellMar>
            <w:top w:w="0" w:type="dxa"/>
            <w:left w:w="108" w:type="dxa"/>
            <w:bottom w:w="0" w:type="dxa"/>
            <w:right w:w="108" w:type="dxa"/>
          </w:tblCellMar>
        </w:tblPrEx>
        <w:trPr>
          <w:trHeight w:val="556" w:hRule="exact"/>
        </w:trPr>
        <w:tc>
          <w:tcPr>
            <w:tcW w:w="8188" w:type="dxa"/>
            <w:vAlign w:val="center"/>
          </w:tcPr>
          <w:p w14:paraId="44D6C187">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3.3准确度等级……………………………………………………………………</w:t>
            </w:r>
          </w:p>
        </w:tc>
        <w:tc>
          <w:tcPr>
            <w:tcW w:w="709" w:type="dxa"/>
            <w:vAlign w:val="center"/>
          </w:tcPr>
          <w:p w14:paraId="7F733FA2">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(1)</w:t>
            </w:r>
          </w:p>
        </w:tc>
      </w:tr>
      <w:tr w14:paraId="6D96B2AE">
        <w:tblPrEx>
          <w:tblCellMar>
            <w:top w:w="0" w:type="dxa"/>
            <w:left w:w="108" w:type="dxa"/>
            <w:bottom w:w="0" w:type="dxa"/>
            <w:right w:w="108" w:type="dxa"/>
          </w:tblCellMar>
        </w:tblPrEx>
        <w:trPr>
          <w:trHeight w:val="570" w:hRule="exact"/>
        </w:trPr>
        <w:tc>
          <w:tcPr>
            <w:tcW w:w="8188" w:type="dxa"/>
            <w:vAlign w:val="center"/>
          </w:tcPr>
          <w:p w14:paraId="044A717D">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4概述………………………………………………………………………………</w:t>
            </w:r>
          </w:p>
        </w:tc>
        <w:tc>
          <w:tcPr>
            <w:tcW w:w="709" w:type="dxa"/>
            <w:vAlign w:val="center"/>
          </w:tcPr>
          <w:p w14:paraId="03B55974">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(1)</w:t>
            </w:r>
          </w:p>
        </w:tc>
      </w:tr>
      <w:tr w14:paraId="72541C4C">
        <w:tblPrEx>
          <w:tblCellMar>
            <w:top w:w="0" w:type="dxa"/>
            <w:left w:w="108" w:type="dxa"/>
            <w:bottom w:w="0" w:type="dxa"/>
            <w:right w:w="108" w:type="dxa"/>
          </w:tblCellMar>
        </w:tblPrEx>
        <w:trPr>
          <w:trHeight w:val="720" w:hRule="exact"/>
        </w:trPr>
        <w:tc>
          <w:tcPr>
            <w:tcW w:w="8188" w:type="dxa"/>
            <w:vAlign w:val="center"/>
          </w:tcPr>
          <w:p w14:paraId="3F376BAC">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5计量特性…………………………………………………………………………</w:t>
            </w:r>
          </w:p>
        </w:tc>
        <w:tc>
          <w:tcPr>
            <w:tcW w:w="709" w:type="dxa"/>
            <w:vAlign w:val="center"/>
          </w:tcPr>
          <w:p w14:paraId="3A9F611D">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(2)</w:t>
            </w:r>
          </w:p>
        </w:tc>
      </w:tr>
      <w:tr w14:paraId="281E5CDA">
        <w:tblPrEx>
          <w:tblCellMar>
            <w:top w:w="0" w:type="dxa"/>
            <w:left w:w="108" w:type="dxa"/>
            <w:bottom w:w="0" w:type="dxa"/>
            <w:right w:w="108" w:type="dxa"/>
          </w:tblCellMar>
        </w:tblPrEx>
        <w:trPr>
          <w:trHeight w:val="560" w:hRule="exact"/>
        </w:trPr>
        <w:tc>
          <w:tcPr>
            <w:tcW w:w="8188" w:type="dxa"/>
            <w:vAlign w:val="center"/>
          </w:tcPr>
          <w:p w14:paraId="6092D506">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5.1 测量范围和最大允许误差……………………………………………………</w:t>
            </w:r>
          </w:p>
        </w:tc>
        <w:tc>
          <w:tcPr>
            <w:tcW w:w="709" w:type="dxa"/>
            <w:vAlign w:val="center"/>
          </w:tcPr>
          <w:p w14:paraId="0F463083">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(2)</w:t>
            </w:r>
          </w:p>
        </w:tc>
      </w:tr>
      <w:tr w14:paraId="609D1C63">
        <w:tblPrEx>
          <w:tblCellMar>
            <w:top w:w="0" w:type="dxa"/>
            <w:left w:w="108" w:type="dxa"/>
            <w:bottom w:w="0" w:type="dxa"/>
            <w:right w:w="108" w:type="dxa"/>
          </w:tblCellMar>
        </w:tblPrEx>
        <w:trPr>
          <w:trHeight w:val="576" w:hRule="exact"/>
        </w:trPr>
        <w:tc>
          <w:tcPr>
            <w:tcW w:w="8188" w:type="dxa"/>
            <w:vAlign w:val="center"/>
          </w:tcPr>
          <w:p w14:paraId="6679E1DB">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6校准条件…………………………………………………………………………</w:t>
            </w:r>
          </w:p>
        </w:tc>
        <w:tc>
          <w:tcPr>
            <w:tcW w:w="709" w:type="dxa"/>
            <w:vAlign w:val="center"/>
          </w:tcPr>
          <w:p w14:paraId="170231E0">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(3)</w:t>
            </w:r>
          </w:p>
        </w:tc>
      </w:tr>
      <w:tr w14:paraId="5D1BF735">
        <w:tblPrEx>
          <w:tblCellMar>
            <w:top w:w="0" w:type="dxa"/>
            <w:left w:w="108" w:type="dxa"/>
            <w:bottom w:w="0" w:type="dxa"/>
            <w:right w:w="108" w:type="dxa"/>
          </w:tblCellMar>
        </w:tblPrEx>
        <w:trPr>
          <w:trHeight w:val="570" w:hRule="exact"/>
        </w:trPr>
        <w:tc>
          <w:tcPr>
            <w:tcW w:w="8188" w:type="dxa"/>
            <w:vAlign w:val="center"/>
          </w:tcPr>
          <w:p w14:paraId="55864237">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6.1 环境条件……………………………………………………………………</w:t>
            </w:r>
          </w:p>
        </w:tc>
        <w:tc>
          <w:tcPr>
            <w:tcW w:w="709" w:type="dxa"/>
            <w:vAlign w:val="center"/>
          </w:tcPr>
          <w:p w14:paraId="329CC1E3">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(3)</w:t>
            </w:r>
          </w:p>
        </w:tc>
      </w:tr>
      <w:tr w14:paraId="0A16C441">
        <w:tblPrEx>
          <w:tblCellMar>
            <w:top w:w="0" w:type="dxa"/>
            <w:left w:w="108" w:type="dxa"/>
            <w:bottom w:w="0" w:type="dxa"/>
            <w:right w:w="108" w:type="dxa"/>
          </w:tblCellMar>
        </w:tblPrEx>
        <w:trPr>
          <w:trHeight w:val="570" w:hRule="exact"/>
        </w:trPr>
        <w:tc>
          <w:tcPr>
            <w:tcW w:w="8188" w:type="dxa"/>
            <w:vAlign w:val="center"/>
          </w:tcPr>
          <w:p w14:paraId="74653D17">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6.2测量标准及其他设备…………………………………………………………</w:t>
            </w:r>
          </w:p>
        </w:tc>
        <w:tc>
          <w:tcPr>
            <w:tcW w:w="709" w:type="dxa"/>
          </w:tcPr>
          <w:p w14:paraId="60370BD0">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(3)</w:t>
            </w:r>
          </w:p>
        </w:tc>
      </w:tr>
      <w:tr w14:paraId="20CA0AFB">
        <w:tblPrEx>
          <w:tblCellMar>
            <w:top w:w="0" w:type="dxa"/>
            <w:left w:w="108" w:type="dxa"/>
            <w:bottom w:w="0" w:type="dxa"/>
            <w:right w:w="108" w:type="dxa"/>
          </w:tblCellMar>
        </w:tblPrEx>
        <w:trPr>
          <w:trHeight w:val="570" w:hRule="exact"/>
        </w:trPr>
        <w:tc>
          <w:tcPr>
            <w:tcW w:w="8188" w:type="dxa"/>
            <w:shd w:val="clear" w:color="auto" w:fill="auto"/>
            <w:vAlign w:val="center"/>
          </w:tcPr>
          <w:p w14:paraId="192890B4">
            <w:pPr>
              <w:pStyle w:val="4"/>
              <w:tabs>
                <w:tab w:val="left" w:pos="8280"/>
              </w:tabs>
              <w:spacing w:line="360" w:lineRule="auto"/>
              <w:ind w:right="-107" w:rightChars="-51"/>
              <w:jc w:val="left"/>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7校准项目和校准方法……………………………………………………………</w:t>
            </w:r>
          </w:p>
        </w:tc>
        <w:tc>
          <w:tcPr>
            <w:tcW w:w="709" w:type="dxa"/>
            <w:shd w:val="clear" w:color="auto" w:fill="auto"/>
            <w:vAlign w:val="center"/>
          </w:tcPr>
          <w:p w14:paraId="04D6CF11">
            <w:pPr>
              <w:pStyle w:val="4"/>
              <w:tabs>
                <w:tab w:val="left" w:pos="8280"/>
              </w:tabs>
              <w:spacing w:line="360" w:lineRule="auto"/>
              <w:ind w:right="-107" w:rightChars="-51"/>
              <w:jc w:val="center"/>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(3)</w:t>
            </w:r>
          </w:p>
        </w:tc>
      </w:tr>
      <w:tr w14:paraId="267874B0">
        <w:tblPrEx>
          <w:tblCellMar>
            <w:top w:w="0" w:type="dxa"/>
            <w:left w:w="108" w:type="dxa"/>
            <w:bottom w:w="0" w:type="dxa"/>
            <w:right w:w="108" w:type="dxa"/>
          </w:tblCellMar>
        </w:tblPrEx>
        <w:trPr>
          <w:trHeight w:val="570" w:hRule="exact"/>
        </w:trPr>
        <w:tc>
          <w:tcPr>
            <w:tcW w:w="8188" w:type="dxa"/>
            <w:shd w:val="clear" w:color="auto" w:fill="auto"/>
            <w:vAlign w:val="center"/>
          </w:tcPr>
          <w:p w14:paraId="3F4DD7C4">
            <w:pPr>
              <w:pStyle w:val="4"/>
              <w:tabs>
                <w:tab w:val="left" w:pos="8280"/>
              </w:tabs>
              <w:spacing w:line="360" w:lineRule="auto"/>
              <w:ind w:right="-107" w:rightChars="-51"/>
              <w:jc w:val="left"/>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7.1校准项目………………………………………………………………………</w:t>
            </w:r>
          </w:p>
        </w:tc>
        <w:tc>
          <w:tcPr>
            <w:tcW w:w="709" w:type="dxa"/>
            <w:shd w:val="clear" w:color="auto" w:fill="auto"/>
            <w:vAlign w:val="center"/>
          </w:tcPr>
          <w:p w14:paraId="426597D1">
            <w:pPr>
              <w:pStyle w:val="4"/>
              <w:tabs>
                <w:tab w:val="left" w:pos="8280"/>
              </w:tabs>
              <w:spacing w:line="360" w:lineRule="auto"/>
              <w:ind w:right="-107" w:rightChars="-51"/>
              <w:jc w:val="center"/>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(3)</w:t>
            </w:r>
          </w:p>
        </w:tc>
      </w:tr>
      <w:tr w14:paraId="164B2E2C">
        <w:tblPrEx>
          <w:tblCellMar>
            <w:top w:w="0" w:type="dxa"/>
            <w:left w:w="108" w:type="dxa"/>
            <w:bottom w:w="0" w:type="dxa"/>
            <w:right w:w="108" w:type="dxa"/>
          </w:tblCellMar>
        </w:tblPrEx>
        <w:trPr>
          <w:trHeight w:val="570" w:hRule="exact"/>
        </w:trPr>
        <w:tc>
          <w:tcPr>
            <w:tcW w:w="8188" w:type="dxa"/>
            <w:shd w:val="clear" w:color="auto" w:fill="auto"/>
            <w:vAlign w:val="center"/>
          </w:tcPr>
          <w:p w14:paraId="16C1E32B">
            <w:pPr>
              <w:pStyle w:val="4"/>
              <w:tabs>
                <w:tab w:val="left" w:pos="8280"/>
              </w:tabs>
              <w:spacing w:line="360" w:lineRule="auto"/>
              <w:ind w:right="-107" w:rightChars="-51"/>
              <w:jc w:val="left"/>
              <w:rPr>
                <w:rFonts w:hAnsi="宋体" w:cs="宋体"/>
                <w:sz w:val="24"/>
                <w:szCs w:val="24"/>
                <w:shd w:val="clear" w:color="auto" w:fill="FFFFFF"/>
              </w:rPr>
            </w:pPr>
            <w:r>
              <w:rPr>
                <w:rFonts w:hint="eastAsia" w:hAnsi="宋体" w:cs="宋体"/>
                <w:sz w:val="24"/>
                <w:szCs w:val="24"/>
                <w:shd w:val="clear" w:color="auto" w:fill="FFFFFF"/>
              </w:rPr>
              <w:t>7.2 校准方法……………………………………………………………………</w:t>
            </w:r>
          </w:p>
          <w:p w14:paraId="6FA11D36">
            <w:pPr>
              <w:pStyle w:val="4"/>
              <w:tabs>
                <w:tab w:val="left" w:pos="8280"/>
              </w:tabs>
              <w:spacing w:line="360" w:lineRule="auto"/>
              <w:ind w:right="-107" w:rightChars="-51"/>
              <w:jc w:val="left"/>
              <w:rPr>
                <w:rFonts w:hint="eastAsia" w:ascii="宋体" w:hAnsi="宋体" w:eastAsia="宋体" w:cs="宋体"/>
                <w:kern w:val="2"/>
                <w:sz w:val="24"/>
                <w:szCs w:val="24"/>
                <w:shd w:val="clear" w:color="auto" w:fill="FFFFFF"/>
                <w:lang w:val="en-US" w:eastAsia="zh-CN" w:bidi="ar-SA"/>
              </w:rPr>
            </w:pPr>
          </w:p>
        </w:tc>
        <w:tc>
          <w:tcPr>
            <w:tcW w:w="709" w:type="dxa"/>
            <w:shd w:val="clear" w:color="auto" w:fill="auto"/>
            <w:vAlign w:val="center"/>
          </w:tcPr>
          <w:p w14:paraId="032E95D6">
            <w:pPr>
              <w:pStyle w:val="4"/>
              <w:tabs>
                <w:tab w:val="left" w:pos="8280"/>
              </w:tabs>
              <w:spacing w:line="360" w:lineRule="auto"/>
              <w:ind w:right="-107" w:rightChars="-51"/>
              <w:jc w:val="center"/>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(3)</w:t>
            </w:r>
          </w:p>
        </w:tc>
      </w:tr>
      <w:tr w14:paraId="25CB6DDE">
        <w:tblPrEx>
          <w:tblCellMar>
            <w:top w:w="0" w:type="dxa"/>
            <w:left w:w="108" w:type="dxa"/>
            <w:bottom w:w="0" w:type="dxa"/>
            <w:right w:w="108" w:type="dxa"/>
          </w:tblCellMar>
        </w:tblPrEx>
        <w:trPr>
          <w:trHeight w:val="570" w:hRule="exact"/>
        </w:trPr>
        <w:tc>
          <w:tcPr>
            <w:tcW w:w="8188" w:type="dxa"/>
            <w:shd w:val="clear" w:color="auto" w:fill="auto"/>
            <w:vAlign w:val="center"/>
          </w:tcPr>
          <w:p w14:paraId="543D52E0">
            <w:pPr>
              <w:pStyle w:val="4"/>
              <w:tabs>
                <w:tab w:val="left" w:pos="8280"/>
              </w:tabs>
              <w:spacing w:line="360" w:lineRule="auto"/>
              <w:ind w:right="-107" w:rightChars="-51"/>
              <w:jc w:val="left"/>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8校准结果表达……………………………………………………………………</w:t>
            </w:r>
          </w:p>
        </w:tc>
        <w:tc>
          <w:tcPr>
            <w:tcW w:w="709" w:type="dxa"/>
            <w:shd w:val="clear" w:color="auto" w:fill="auto"/>
            <w:vAlign w:val="center"/>
          </w:tcPr>
          <w:p w14:paraId="20635454">
            <w:pPr>
              <w:pStyle w:val="4"/>
              <w:tabs>
                <w:tab w:val="left" w:pos="8280"/>
              </w:tabs>
              <w:spacing w:line="360" w:lineRule="auto"/>
              <w:ind w:right="-107" w:rightChars="-51"/>
              <w:jc w:val="center"/>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(6)</w:t>
            </w:r>
          </w:p>
        </w:tc>
      </w:tr>
      <w:tr w14:paraId="1A5FDA7F">
        <w:tblPrEx>
          <w:tblCellMar>
            <w:top w:w="0" w:type="dxa"/>
            <w:left w:w="108" w:type="dxa"/>
            <w:bottom w:w="0" w:type="dxa"/>
            <w:right w:w="108" w:type="dxa"/>
          </w:tblCellMar>
        </w:tblPrEx>
        <w:trPr>
          <w:trHeight w:val="570" w:hRule="exact"/>
        </w:trPr>
        <w:tc>
          <w:tcPr>
            <w:tcW w:w="8188" w:type="dxa"/>
            <w:shd w:val="clear" w:color="auto" w:fill="auto"/>
            <w:vAlign w:val="center"/>
          </w:tcPr>
          <w:p w14:paraId="196A4AAD">
            <w:pPr>
              <w:pStyle w:val="4"/>
              <w:tabs>
                <w:tab w:val="left" w:pos="8280"/>
              </w:tabs>
              <w:spacing w:line="360" w:lineRule="auto"/>
              <w:ind w:right="-107" w:rightChars="-51"/>
              <w:jc w:val="left"/>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9复校时间间隔……………………………………………………………………</w:t>
            </w:r>
          </w:p>
        </w:tc>
        <w:tc>
          <w:tcPr>
            <w:tcW w:w="709" w:type="dxa"/>
            <w:shd w:val="clear" w:color="auto" w:fill="auto"/>
            <w:vAlign w:val="center"/>
          </w:tcPr>
          <w:p w14:paraId="5CF0B52B">
            <w:pPr>
              <w:pStyle w:val="4"/>
              <w:tabs>
                <w:tab w:val="left" w:pos="8280"/>
              </w:tabs>
              <w:spacing w:line="360" w:lineRule="auto"/>
              <w:ind w:right="-107" w:rightChars="-51"/>
              <w:jc w:val="center"/>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(7)</w:t>
            </w:r>
          </w:p>
        </w:tc>
      </w:tr>
      <w:tr w14:paraId="7BD84877">
        <w:tblPrEx>
          <w:tblCellMar>
            <w:top w:w="0" w:type="dxa"/>
            <w:left w:w="108" w:type="dxa"/>
            <w:bottom w:w="0" w:type="dxa"/>
            <w:right w:w="108" w:type="dxa"/>
          </w:tblCellMar>
        </w:tblPrEx>
        <w:trPr>
          <w:trHeight w:val="570" w:hRule="exact"/>
        </w:trPr>
        <w:tc>
          <w:tcPr>
            <w:tcW w:w="8188" w:type="dxa"/>
            <w:shd w:val="clear" w:color="auto" w:fill="auto"/>
            <w:vAlign w:val="center"/>
          </w:tcPr>
          <w:p w14:paraId="3FD4B872">
            <w:pPr>
              <w:pStyle w:val="4"/>
              <w:tabs>
                <w:tab w:val="left" w:pos="8280"/>
              </w:tabs>
              <w:spacing w:line="360" w:lineRule="auto"/>
              <w:ind w:right="-107" w:rightChars="-51"/>
              <w:jc w:val="left"/>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附录A 安装式数字显示电测量仪表校准原始记录格式（推荐）………………式…………………………………………</w:t>
            </w:r>
          </w:p>
        </w:tc>
        <w:tc>
          <w:tcPr>
            <w:tcW w:w="709" w:type="dxa"/>
            <w:shd w:val="clear" w:color="auto" w:fill="auto"/>
            <w:vAlign w:val="center"/>
          </w:tcPr>
          <w:p w14:paraId="6316A2CA">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(8)</w:t>
            </w:r>
          </w:p>
          <w:p w14:paraId="6C6134C9">
            <w:pPr>
              <w:pStyle w:val="4"/>
              <w:tabs>
                <w:tab w:val="left" w:pos="8280"/>
              </w:tabs>
              <w:spacing w:line="360" w:lineRule="auto"/>
              <w:ind w:right="-107" w:rightChars="-51"/>
              <w:jc w:val="center"/>
              <w:rPr>
                <w:rFonts w:hint="eastAsia" w:ascii="宋体" w:hAnsi="宋体" w:eastAsia="宋体" w:cs="宋体"/>
                <w:kern w:val="2"/>
                <w:sz w:val="24"/>
                <w:szCs w:val="24"/>
                <w:shd w:val="clear" w:color="auto" w:fill="FFFFFF"/>
                <w:lang w:val="en-US" w:eastAsia="zh-CN" w:bidi="ar-SA"/>
              </w:rPr>
            </w:pPr>
          </w:p>
        </w:tc>
      </w:tr>
      <w:tr w14:paraId="5DA92430">
        <w:tblPrEx>
          <w:tblCellMar>
            <w:top w:w="0" w:type="dxa"/>
            <w:left w:w="108" w:type="dxa"/>
            <w:bottom w:w="0" w:type="dxa"/>
            <w:right w:w="108" w:type="dxa"/>
          </w:tblCellMar>
        </w:tblPrEx>
        <w:trPr>
          <w:trHeight w:val="570" w:hRule="exact"/>
        </w:trPr>
        <w:tc>
          <w:tcPr>
            <w:tcW w:w="8188" w:type="dxa"/>
            <w:shd w:val="clear" w:color="auto" w:fill="auto"/>
            <w:vAlign w:val="center"/>
          </w:tcPr>
          <w:p w14:paraId="00FB46EB">
            <w:pPr>
              <w:pStyle w:val="4"/>
              <w:tabs>
                <w:tab w:val="left" w:pos="8280"/>
              </w:tabs>
              <w:spacing w:line="360" w:lineRule="auto"/>
              <w:ind w:right="-107" w:rightChars="-51"/>
              <w:jc w:val="left"/>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附录B安装式数字显示电测量仪表校准证书内页格式（推荐）………………式…………………………………………</w:t>
            </w:r>
          </w:p>
        </w:tc>
        <w:tc>
          <w:tcPr>
            <w:tcW w:w="709" w:type="dxa"/>
            <w:shd w:val="clear" w:color="auto" w:fill="auto"/>
            <w:vAlign w:val="center"/>
          </w:tcPr>
          <w:p w14:paraId="148460C0">
            <w:pPr>
              <w:pStyle w:val="4"/>
              <w:tabs>
                <w:tab w:val="left" w:pos="8280"/>
              </w:tabs>
              <w:spacing w:line="360" w:lineRule="auto"/>
              <w:ind w:right="-107" w:rightChars="-51"/>
              <w:jc w:val="center"/>
              <w:rPr>
                <w:rFonts w:hAnsi="宋体" w:cs="宋体"/>
                <w:sz w:val="24"/>
                <w:szCs w:val="24"/>
                <w:shd w:val="clear" w:color="auto" w:fill="FFFFFF"/>
              </w:rPr>
            </w:pPr>
            <w:r>
              <w:rPr>
                <w:rFonts w:hint="eastAsia" w:hAnsi="宋体" w:cs="宋体"/>
                <w:sz w:val="24"/>
                <w:szCs w:val="24"/>
                <w:shd w:val="clear" w:color="auto" w:fill="FFFFFF"/>
              </w:rPr>
              <w:t>(9)</w:t>
            </w:r>
          </w:p>
          <w:p w14:paraId="4F7BF2A9">
            <w:pPr>
              <w:pStyle w:val="4"/>
              <w:tabs>
                <w:tab w:val="left" w:pos="8280"/>
              </w:tabs>
              <w:spacing w:line="360" w:lineRule="auto"/>
              <w:ind w:right="-107" w:rightChars="-51"/>
              <w:jc w:val="center"/>
              <w:rPr>
                <w:rFonts w:hint="eastAsia" w:ascii="宋体" w:hAnsi="宋体" w:eastAsia="宋体" w:cs="宋体"/>
                <w:kern w:val="2"/>
                <w:sz w:val="24"/>
                <w:szCs w:val="24"/>
                <w:shd w:val="clear" w:color="auto" w:fill="FFFFFF"/>
                <w:lang w:val="en-US" w:eastAsia="zh-CN" w:bidi="ar-SA"/>
              </w:rPr>
            </w:pPr>
          </w:p>
        </w:tc>
      </w:tr>
      <w:tr w14:paraId="47C3DFFA">
        <w:tblPrEx>
          <w:tblCellMar>
            <w:top w:w="0" w:type="dxa"/>
            <w:left w:w="108" w:type="dxa"/>
            <w:bottom w:w="0" w:type="dxa"/>
            <w:right w:w="108" w:type="dxa"/>
          </w:tblCellMar>
        </w:tblPrEx>
        <w:trPr>
          <w:trHeight w:val="570" w:hRule="exact"/>
        </w:trPr>
        <w:tc>
          <w:tcPr>
            <w:tcW w:w="8188" w:type="dxa"/>
            <w:shd w:val="clear" w:color="auto" w:fill="auto"/>
            <w:vAlign w:val="center"/>
          </w:tcPr>
          <w:p w14:paraId="23540856">
            <w:pPr>
              <w:pStyle w:val="4"/>
              <w:tabs>
                <w:tab w:val="left" w:pos="8280"/>
              </w:tabs>
              <w:spacing w:line="360" w:lineRule="auto"/>
              <w:ind w:right="-107" w:rightChars="-51"/>
              <w:jc w:val="left"/>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附录C安装式数字显示电测量仪表校准结果不确定度评定示例………………</w:t>
            </w:r>
          </w:p>
        </w:tc>
        <w:tc>
          <w:tcPr>
            <w:tcW w:w="709" w:type="dxa"/>
            <w:shd w:val="clear" w:color="auto" w:fill="auto"/>
            <w:vAlign w:val="center"/>
          </w:tcPr>
          <w:p w14:paraId="179E04E1">
            <w:pPr>
              <w:pStyle w:val="4"/>
              <w:tabs>
                <w:tab w:val="left" w:pos="8280"/>
              </w:tabs>
              <w:spacing w:line="360" w:lineRule="auto"/>
              <w:ind w:right="-107" w:rightChars="-51"/>
              <w:jc w:val="center"/>
              <w:rPr>
                <w:rFonts w:hint="eastAsia" w:ascii="宋体" w:hAnsi="宋体" w:eastAsia="宋体" w:cs="宋体"/>
                <w:kern w:val="2"/>
                <w:sz w:val="24"/>
                <w:szCs w:val="24"/>
                <w:shd w:val="clear" w:color="auto" w:fill="FFFFFF"/>
                <w:lang w:val="en-US" w:eastAsia="zh-CN" w:bidi="ar-SA"/>
              </w:rPr>
            </w:pPr>
            <w:r>
              <w:rPr>
                <w:rFonts w:hint="eastAsia" w:hAnsi="宋体" w:cs="宋体"/>
                <w:sz w:val="24"/>
                <w:szCs w:val="24"/>
                <w:shd w:val="clear" w:color="auto" w:fill="FFFFFF"/>
              </w:rPr>
              <w:t>(10)</w:t>
            </w:r>
          </w:p>
        </w:tc>
      </w:tr>
    </w:tbl>
    <w:p w14:paraId="288DD346">
      <w:pPr>
        <w:pStyle w:val="4"/>
        <w:tabs>
          <w:tab w:val="left" w:pos="8280"/>
        </w:tabs>
        <w:spacing w:line="360" w:lineRule="auto"/>
        <w:ind w:right="-107" w:rightChars="-51"/>
        <w:jc w:val="left"/>
        <w:rPr>
          <w:rFonts w:hAnsi="宋体" w:cs="宋体"/>
          <w:sz w:val="24"/>
          <w:szCs w:val="24"/>
          <w:shd w:val="clear" w:color="auto" w:fill="FFFFFF"/>
        </w:rPr>
        <w:sectPr>
          <w:headerReference r:id="rId6" w:type="default"/>
          <w:footerReference r:id="rId7" w:type="default"/>
          <w:footerReference r:id="rId8" w:type="even"/>
          <w:pgSz w:w="11906" w:h="16838"/>
          <w:pgMar w:top="1440" w:right="1469" w:bottom="1440" w:left="1622" w:header="851" w:footer="992" w:gutter="0"/>
          <w:pgNumType w:fmt="upperRoman" w:start="1"/>
          <w:cols w:space="720" w:num="1"/>
          <w:docGrid w:type="lines" w:linePitch="312" w:charSpace="0"/>
        </w:sectPr>
      </w:pPr>
    </w:p>
    <w:p w14:paraId="687FC477">
      <w:pPr>
        <w:pStyle w:val="4"/>
        <w:tabs>
          <w:tab w:val="left" w:pos="8280"/>
        </w:tabs>
        <w:spacing w:line="360" w:lineRule="auto"/>
        <w:ind w:right="-107" w:rightChars="-51"/>
        <w:jc w:val="left"/>
        <w:rPr>
          <w:rFonts w:hAnsi="宋体" w:cs="宋体"/>
          <w:sz w:val="24"/>
          <w:szCs w:val="24"/>
          <w:shd w:val="clear" w:color="auto" w:fill="FFFFFF"/>
        </w:rPr>
        <w:sectPr>
          <w:footerReference r:id="rId9" w:type="default"/>
          <w:type w:val="continuous"/>
          <w:pgSz w:w="11906" w:h="16838"/>
          <w:pgMar w:top="1440" w:right="1469" w:bottom="1440" w:left="1622" w:header="851" w:footer="992" w:gutter="0"/>
          <w:pgNumType w:fmt="upperRoman" w:start="1"/>
          <w:cols w:space="720" w:num="1"/>
          <w:docGrid w:type="lines" w:linePitch="312" w:charSpace="0"/>
        </w:sectPr>
      </w:pPr>
    </w:p>
    <w:p w14:paraId="5EF5F35C">
      <w:pPr>
        <w:rPr>
          <w:rFonts w:ascii="Times New Roman" w:hAnsi="Times New Roman" w:eastAsia="黑体"/>
          <w:sz w:val="52"/>
          <w:szCs w:val="52"/>
        </w:rPr>
      </w:pPr>
      <w:r>
        <w:rPr>
          <w:rFonts w:hint="eastAsia" w:ascii="Times New Roman" w:hAnsi="Times New Roman" w:eastAsia="黑体"/>
          <w:sz w:val="52"/>
          <w:szCs w:val="52"/>
        </w:rPr>
        <w:br w:type="page"/>
      </w:r>
    </w:p>
    <w:p w14:paraId="3E12A484">
      <w:pPr>
        <w:pStyle w:val="4"/>
        <w:tabs>
          <w:tab w:val="left" w:pos="8100"/>
        </w:tabs>
        <w:spacing w:line="520" w:lineRule="exact"/>
        <w:ind w:right="206" w:rightChars="98"/>
        <w:jc w:val="center"/>
        <w:rPr>
          <w:rFonts w:ascii="Times New Roman" w:hAnsi="Times New Roman" w:eastAsia="黑体"/>
          <w:sz w:val="52"/>
          <w:szCs w:val="52"/>
        </w:rPr>
      </w:pPr>
      <w:r>
        <w:rPr>
          <w:rFonts w:hint="eastAsia" w:ascii="Times New Roman" w:hAnsi="Times New Roman" w:eastAsia="黑体"/>
          <w:sz w:val="52"/>
          <w:szCs w:val="52"/>
        </w:rPr>
        <w:t>引言</w:t>
      </w:r>
    </w:p>
    <w:p w14:paraId="62D02734">
      <w:pPr>
        <w:pStyle w:val="4"/>
        <w:tabs>
          <w:tab w:val="left" w:pos="8100"/>
        </w:tabs>
        <w:spacing w:line="520" w:lineRule="exact"/>
        <w:ind w:right="206" w:rightChars="98"/>
        <w:jc w:val="center"/>
        <w:rPr>
          <w:rFonts w:ascii="Times New Roman" w:hAnsi="Times New Roman" w:eastAsia="黑体"/>
          <w:sz w:val="52"/>
          <w:szCs w:val="52"/>
        </w:rPr>
      </w:pPr>
    </w:p>
    <w:p w14:paraId="39533B67">
      <w:pPr>
        <w:spacing w:line="360" w:lineRule="auto"/>
        <w:ind w:firstLine="480" w:firstLineChars="200"/>
        <w:rPr>
          <w:rFonts w:hint="eastAsia" w:hAnsi="宋体" w:cs="宋体"/>
          <w:bCs/>
          <w:color w:val="FF0000"/>
          <w:sz w:val="24"/>
        </w:rPr>
      </w:pPr>
      <w:r>
        <w:rPr>
          <w:rFonts w:hint="eastAsia" w:hAnsi="宋体" w:cs="宋体"/>
          <w:bCs/>
          <w:color w:val="FF0000"/>
          <w:sz w:val="24"/>
        </w:rPr>
        <w:t>本规范依据JJF1001-2011《通用计量术语及定义》、JJF1071-2010《国家计量校准规范编写规则》、JJF1059.1-2012《测量不确定度评定与表示》</w:t>
      </w:r>
      <w:r>
        <w:rPr>
          <w:rFonts w:hint="eastAsia" w:hAnsi="宋体" w:cs="宋体"/>
          <w:bCs/>
          <w:color w:val="FF0000"/>
          <w:sz w:val="24"/>
          <w:lang w:val="en-US" w:eastAsia="zh-CN"/>
        </w:rPr>
        <w:t>等规范编制</w:t>
      </w:r>
      <w:r>
        <w:rPr>
          <w:rFonts w:hint="eastAsia" w:hAnsi="宋体" w:cs="宋体"/>
          <w:bCs/>
          <w:color w:val="FF0000"/>
          <w:sz w:val="24"/>
        </w:rPr>
        <w:t>。</w:t>
      </w:r>
    </w:p>
    <w:p w14:paraId="5F3FE0CA">
      <w:pPr>
        <w:spacing w:line="360" w:lineRule="auto"/>
        <w:ind w:firstLine="480" w:firstLineChars="200"/>
        <w:rPr>
          <w:rFonts w:hAnsi="宋体" w:cs="宋体"/>
          <w:bCs/>
          <w:color w:val="FF0000"/>
          <w:sz w:val="24"/>
        </w:rPr>
      </w:pPr>
      <w:r>
        <w:rPr>
          <w:rFonts w:hint="eastAsia" w:hAnsi="宋体" w:cs="宋体"/>
          <w:bCs/>
          <w:color w:val="FF0000"/>
          <w:sz w:val="24"/>
        </w:rPr>
        <w:t>本规范</w:t>
      </w:r>
      <w:r>
        <w:rPr>
          <w:rFonts w:hint="eastAsia" w:hAnsi="宋体" w:cs="宋体"/>
          <w:bCs/>
          <w:color w:val="FF0000"/>
          <w:sz w:val="24"/>
          <w:lang w:val="en-US" w:eastAsia="zh-CN"/>
        </w:rPr>
        <w:t>主要</w:t>
      </w:r>
      <w:r>
        <w:rPr>
          <w:rFonts w:hint="eastAsia" w:hAnsi="宋体" w:cs="宋体"/>
          <w:bCs/>
          <w:color w:val="FF0000"/>
          <w:sz w:val="24"/>
        </w:rPr>
        <w:t>参考JJF1491-2014《数字式交流电参数测量仪校准规范》、JJF1587-2016《数字多用表校准规范》、JJF1075-2015《钳形电流表校准规范》、DL/T (电力) 1664-2016 《电能计量装置现场检验规程》、GB/T22264.1-2022《安装式数字显示电测量仪表》等文件</w:t>
      </w:r>
      <w:r>
        <w:rPr>
          <w:rFonts w:hint="eastAsia" w:hAnsi="宋体" w:cs="宋体"/>
          <w:bCs/>
          <w:color w:val="FF0000"/>
          <w:sz w:val="24"/>
          <w:lang w:val="en-US" w:eastAsia="zh-CN"/>
        </w:rPr>
        <w:t>编制而成</w:t>
      </w:r>
      <w:r>
        <w:rPr>
          <w:rFonts w:hint="eastAsia" w:hAnsi="宋体" w:cs="宋体"/>
          <w:bCs/>
          <w:color w:val="FF0000"/>
          <w:sz w:val="24"/>
        </w:rPr>
        <w:t>。</w:t>
      </w:r>
    </w:p>
    <w:p w14:paraId="11F1DC49">
      <w:pPr>
        <w:spacing w:line="440" w:lineRule="exact"/>
        <w:ind w:firstLine="480" w:firstLineChars="200"/>
        <w:rPr>
          <w:rFonts w:ascii="宋体" w:cs="宋体"/>
          <w:sz w:val="24"/>
        </w:rPr>
      </w:pPr>
      <w:r>
        <w:rPr>
          <w:rFonts w:hint="eastAsia" w:ascii="宋体" w:hAnsi="宋体" w:cs="宋体"/>
          <w:sz w:val="24"/>
        </w:rPr>
        <w:t>本规范为首次发布。</w:t>
      </w:r>
    </w:p>
    <w:p w14:paraId="65776A81"/>
    <w:p w14:paraId="56BDFD40">
      <w:pPr>
        <w:pStyle w:val="4"/>
        <w:spacing w:line="440" w:lineRule="exact"/>
        <w:rPr>
          <w:rFonts w:ascii="Times New Roman" w:hAnsi="Times New Roman"/>
        </w:rPr>
        <w:sectPr>
          <w:footerReference r:id="rId10" w:type="default"/>
          <w:type w:val="continuous"/>
          <w:pgSz w:w="11906" w:h="16838"/>
          <w:pgMar w:top="1440" w:right="1469" w:bottom="1440" w:left="1622" w:header="851" w:footer="992" w:gutter="0"/>
          <w:pgNumType w:fmt="upperRoman" w:start="1"/>
          <w:cols w:space="720" w:num="1"/>
          <w:docGrid w:type="lines" w:linePitch="312" w:charSpace="0"/>
        </w:sectPr>
      </w:pPr>
    </w:p>
    <w:p w14:paraId="7794639B">
      <w:pPr>
        <w:pStyle w:val="4"/>
        <w:spacing w:line="440" w:lineRule="exact"/>
        <w:rPr>
          <w:rFonts w:ascii="Times New Roman" w:hAnsi="Times New Roman"/>
        </w:rPr>
      </w:pPr>
    </w:p>
    <w:p w14:paraId="6AE9740B">
      <w:pPr>
        <w:pStyle w:val="4"/>
        <w:spacing w:line="440" w:lineRule="exact"/>
        <w:jc w:val="center"/>
        <w:rPr>
          <w:rFonts w:ascii="Times New Roman" w:hAnsi="Times New Roman"/>
        </w:rPr>
      </w:pPr>
      <w:r>
        <w:rPr>
          <w:rFonts w:ascii="Times New Roman" w:hAnsi="Times New Roman"/>
        </w:rPr>
        <w:br w:type="page"/>
      </w:r>
    </w:p>
    <w:p w14:paraId="4445986A">
      <w:pPr>
        <w:pStyle w:val="4"/>
        <w:spacing w:line="440" w:lineRule="exact"/>
        <w:jc w:val="center"/>
        <w:rPr>
          <w:rFonts w:ascii="Times New Roman" w:hAnsi="Times New Roman" w:eastAsia="黑体"/>
          <w:bCs/>
          <w:sz w:val="32"/>
        </w:rPr>
      </w:pPr>
    </w:p>
    <w:p w14:paraId="48F89AF5">
      <w:pPr>
        <w:pStyle w:val="4"/>
        <w:spacing w:line="360" w:lineRule="auto"/>
        <w:jc w:val="center"/>
        <w:rPr>
          <w:rFonts w:ascii="黑体" w:hAnsi="黑体" w:eastAsia="黑体" w:cs="黑体"/>
          <w:bCs/>
          <w:sz w:val="32"/>
          <w:szCs w:val="32"/>
        </w:rPr>
      </w:pPr>
      <w:r>
        <w:rPr>
          <w:rFonts w:hint="eastAsia" w:ascii="黑体" w:hAnsi="黑体" w:eastAsia="黑体" w:cs="黑体"/>
          <w:bCs/>
          <w:sz w:val="32"/>
          <w:szCs w:val="32"/>
        </w:rPr>
        <w:t>安装式数字显示电测量仪表在线校准规范</w:t>
      </w:r>
    </w:p>
    <w:p w14:paraId="64FF3BC5">
      <w:pPr>
        <w:pStyle w:val="4"/>
        <w:spacing w:before="312" w:beforeLines="100" w:line="360" w:lineRule="auto"/>
        <w:ind w:right="25" w:rightChars="12"/>
        <w:rPr>
          <w:rFonts w:ascii="黑体" w:hAnsi="黑体" w:eastAsia="黑体" w:cs="黑体"/>
          <w:sz w:val="24"/>
          <w:szCs w:val="24"/>
        </w:rPr>
      </w:pPr>
      <w:r>
        <w:rPr>
          <w:rFonts w:hint="eastAsia" w:ascii="黑体" w:hAnsi="黑体" w:eastAsia="黑体" w:cs="黑体"/>
          <w:sz w:val="24"/>
          <w:szCs w:val="24"/>
        </w:rPr>
        <w:t>1 范围</w:t>
      </w:r>
    </w:p>
    <w:p w14:paraId="3F012883">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本规范适用于测量直流电压、电流或交流电压、电流、交流功率、频率</w:t>
      </w:r>
      <w:r>
        <w:rPr>
          <w:rFonts w:hint="eastAsia" w:asciiTheme="minorEastAsia" w:hAnsiTheme="minorEastAsia" w:eastAsiaTheme="minorEastAsia" w:cstheme="minorEastAsia"/>
          <w:color w:val="auto"/>
          <w:spacing w:val="2"/>
          <w:sz w:val="24"/>
          <w:shd w:val="clear" w:color="auto" w:fill="FFFFFF"/>
        </w:rPr>
        <w:t>、</w:t>
      </w:r>
      <w:r>
        <w:rPr>
          <w:rFonts w:hint="eastAsia" w:asciiTheme="minorEastAsia" w:hAnsiTheme="minorEastAsia" w:eastAsiaTheme="minorEastAsia" w:cstheme="minorEastAsia"/>
          <w:color w:val="FF0000"/>
          <w:spacing w:val="2"/>
          <w:sz w:val="24"/>
          <w:shd w:val="clear" w:color="auto" w:fill="FFFFFF"/>
          <w:lang w:eastAsia="zh-CN"/>
        </w:rPr>
        <w:t>相位、功率因数、</w:t>
      </w:r>
      <w:r>
        <w:rPr>
          <w:rFonts w:hint="eastAsia" w:asciiTheme="minorEastAsia" w:hAnsiTheme="minorEastAsia" w:eastAsiaTheme="minorEastAsia" w:cstheme="minorEastAsia"/>
          <w:spacing w:val="2"/>
          <w:sz w:val="24"/>
          <w:shd w:val="clear" w:color="auto" w:fill="FFFFFF"/>
        </w:rPr>
        <w:t>有功电能、无功电能等多个或单个电参量的测量仪表的在线校准。用于非贸易结算的安装式交流电能表也可参照本规范校准。</w:t>
      </w:r>
    </w:p>
    <w:p w14:paraId="31FD1FDA">
      <w:pPr>
        <w:pStyle w:val="4"/>
        <w:spacing w:before="312" w:beforeLines="100" w:line="360" w:lineRule="auto"/>
        <w:ind w:right="25" w:rightChars="12"/>
        <w:rPr>
          <w:rFonts w:ascii="黑体" w:hAnsi="黑体" w:eastAsia="黑体" w:cs="黑体"/>
          <w:sz w:val="24"/>
          <w:szCs w:val="24"/>
        </w:rPr>
      </w:pPr>
      <w:r>
        <w:rPr>
          <w:rFonts w:hint="eastAsia" w:ascii="黑体" w:hAnsi="黑体" w:eastAsia="黑体" w:cs="黑体"/>
          <w:sz w:val="24"/>
          <w:szCs w:val="24"/>
        </w:rPr>
        <w:t>2引用文件</w:t>
      </w:r>
    </w:p>
    <w:p w14:paraId="25865BAD">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本规范引用了下列文件：</w:t>
      </w:r>
    </w:p>
    <w:p w14:paraId="28747863">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JJF1491-2014  数字式交流电参数测量仪校准规范</w:t>
      </w:r>
    </w:p>
    <w:p w14:paraId="2EA55A44">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JJF1587-2016  数字多用表校准规范</w:t>
      </w:r>
    </w:p>
    <w:p w14:paraId="3A1CD655">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JJF1075-2015  钳形电流表校准规范</w:t>
      </w:r>
    </w:p>
    <w:p w14:paraId="64205E7E">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DL/T (电力) 1664-2016 电能计量装置现场检验规程</w:t>
      </w:r>
    </w:p>
    <w:p w14:paraId="3009E913">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GB/T22264.1-2022  安装式数字显示电测量仪表</w:t>
      </w:r>
    </w:p>
    <w:p w14:paraId="53120B03">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凡是注日期的引用文件，仅注日期的版本适用于本规范。</w:t>
      </w:r>
    </w:p>
    <w:p w14:paraId="64B4D2C3">
      <w:pPr>
        <w:pStyle w:val="4"/>
        <w:spacing w:before="156" w:beforeLines="50" w:line="360" w:lineRule="auto"/>
        <w:ind w:left="-420" w:leftChars="-200" w:right="25" w:rightChars="12" w:firstLine="417" w:firstLineChars="174"/>
        <w:rPr>
          <w:rFonts w:ascii="黑体" w:hAnsi="黑体" w:eastAsia="黑体" w:cs="黑体"/>
          <w:sz w:val="24"/>
          <w:szCs w:val="24"/>
        </w:rPr>
      </w:pPr>
      <w:r>
        <w:rPr>
          <w:rFonts w:hint="eastAsia" w:ascii="黑体" w:hAnsi="黑体" w:eastAsia="黑体" w:cs="黑体"/>
          <w:sz w:val="24"/>
          <w:szCs w:val="24"/>
        </w:rPr>
        <w:t>3术语和计量单位</w:t>
      </w:r>
    </w:p>
    <w:p w14:paraId="02618DBA">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3.1 电测量仪表electricmeasuring instrument</w:t>
      </w:r>
    </w:p>
    <w:p w14:paraId="1E393AB6">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用电工或电子方法对电量或非电量测量的仪器仪表。</w:t>
      </w:r>
    </w:p>
    <w:p w14:paraId="719E51C3">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3.2电能表现场校验仪field calibrator for electric energy meter</w:t>
      </w:r>
    </w:p>
    <w:p w14:paraId="134AEFDF">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电能表现场校验仪是集成电参量测量、电能校验等多种功能，可在使用现场对电能表、电参量测量仪等仪器进行测量的便携式仪器。</w:t>
      </w:r>
    </w:p>
    <w:p w14:paraId="648781B6">
      <w:pPr>
        <w:pStyle w:val="4"/>
        <w:spacing w:before="156" w:beforeLines="50" w:line="360" w:lineRule="auto"/>
        <w:ind w:left="-420" w:leftChars="-200" w:right="25" w:rightChars="12" w:firstLine="417" w:firstLineChars="174"/>
        <w:rPr>
          <w:rFonts w:ascii="黑体" w:hAnsi="黑体" w:eastAsia="黑体" w:cs="黑体"/>
          <w:sz w:val="24"/>
          <w:szCs w:val="24"/>
        </w:rPr>
      </w:pPr>
      <w:r>
        <w:rPr>
          <w:rFonts w:hint="eastAsia" w:ascii="黑体" w:hAnsi="黑体" w:eastAsia="黑体" w:cs="黑体"/>
          <w:sz w:val="24"/>
          <w:szCs w:val="24"/>
        </w:rPr>
        <w:t>4概述</w:t>
      </w:r>
    </w:p>
    <w:p w14:paraId="7C634F3D">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安装式数字显示电测量仪表是集多电测量、数据显示、数据采集及数据传输为一体的智能仪表，用于测量直流或交流电压、电流、有功功率、无功功率、频率、</w:t>
      </w:r>
      <w:r>
        <w:rPr>
          <w:rFonts w:hint="eastAsia" w:asciiTheme="minorEastAsia" w:hAnsiTheme="minorEastAsia" w:eastAsiaTheme="minorEastAsia" w:cstheme="minorEastAsia"/>
          <w:color w:val="FF0000"/>
          <w:spacing w:val="2"/>
          <w:sz w:val="24"/>
          <w:shd w:val="clear" w:color="auto" w:fill="FFFFFF"/>
          <w:lang w:eastAsia="zh-CN"/>
        </w:rPr>
        <w:t>相位、功率因数、</w:t>
      </w:r>
      <w:r>
        <w:rPr>
          <w:rFonts w:hint="eastAsia" w:asciiTheme="minorEastAsia" w:hAnsiTheme="minorEastAsia" w:eastAsiaTheme="minorEastAsia" w:cstheme="minorEastAsia"/>
          <w:spacing w:val="2"/>
          <w:sz w:val="24"/>
          <w:shd w:val="clear" w:color="auto" w:fill="FFFFFF"/>
        </w:rPr>
        <w:t>交流有功、无功电能等多个电参量的测量仪表，配有通讯接口、数字量输入输出、电能脉冲输出、模拟量DC4-20mA输出等选件功能，可与计算机通讯，实现自动控制及无人值守。</w:t>
      </w:r>
    </w:p>
    <w:p w14:paraId="0AEED5AD">
      <w:pPr>
        <w:pStyle w:val="4"/>
        <w:spacing w:before="156" w:beforeLines="50" w:line="360" w:lineRule="auto"/>
        <w:ind w:right="25" w:rightChars="1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anchor distT="0" distB="0" distL="114300" distR="114300" simplePos="0" relativeHeight="251664384" behindDoc="0" locked="0" layoutInCell="1" allowOverlap="1">
            <wp:simplePos x="0" y="0"/>
            <wp:positionH relativeFrom="column">
              <wp:posOffset>455930</wp:posOffset>
            </wp:positionH>
            <wp:positionV relativeFrom="paragraph">
              <wp:posOffset>38100</wp:posOffset>
            </wp:positionV>
            <wp:extent cx="4632960" cy="2213610"/>
            <wp:effectExtent l="0" t="0" r="15240" b="15240"/>
            <wp:wrapTopAndBottom/>
            <wp:docPr id="1" name="图片 1" descr="172854481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8544818100"/>
                    <pic:cNvPicPr>
                      <a:picLocks noChangeAspect="1"/>
                    </pic:cNvPicPr>
                  </pic:nvPicPr>
                  <pic:blipFill>
                    <a:blip r:embed="rId15"/>
                    <a:stretch>
                      <a:fillRect/>
                    </a:stretch>
                  </pic:blipFill>
                  <pic:spPr>
                    <a:xfrm>
                      <a:off x="0" y="0"/>
                      <a:ext cx="4632960" cy="2213610"/>
                    </a:xfrm>
                    <a:prstGeom prst="rect">
                      <a:avLst/>
                    </a:prstGeom>
                  </pic:spPr>
                </pic:pic>
              </a:graphicData>
            </a:graphic>
          </wp:anchor>
        </w:drawing>
      </w:r>
      <w:r>
        <w:rPr>
          <w:rFonts w:hint="eastAsia" w:asciiTheme="minorEastAsia" w:hAnsiTheme="minorEastAsia" w:eastAsiaTheme="minorEastAsia" w:cstheme="minorEastAsia"/>
          <w:szCs w:val="21"/>
        </w:rPr>
        <w:t>图1 安装式数字显示电测量仪表原理图</w:t>
      </w:r>
    </w:p>
    <w:p w14:paraId="41F876BA">
      <w:pPr>
        <w:pStyle w:val="4"/>
        <w:spacing w:before="156" w:beforeLines="50" w:line="360" w:lineRule="auto"/>
        <w:ind w:right="25" w:rightChars="12"/>
        <w:rPr>
          <w:rFonts w:ascii="黑体" w:hAnsi="黑体" w:eastAsia="黑体" w:cs="黑体"/>
          <w:sz w:val="24"/>
          <w:szCs w:val="24"/>
          <w:shd w:val="clear" w:color="auto" w:fill="FFFFFF"/>
        </w:rPr>
      </w:pPr>
      <w:r>
        <w:rPr>
          <w:rFonts w:hint="eastAsia" w:ascii="黑体" w:hAnsi="黑体" w:eastAsia="黑体" w:cs="黑体"/>
          <w:sz w:val="24"/>
          <w:szCs w:val="24"/>
        </w:rPr>
        <w:t>5</w:t>
      </w:r>
      <w:r>
        <w:rPr>
          <w:rFonts w:hint="eastAsia" w:ascii="黑体" w:hAnsi="黑体" w:eastAsia="黑体" w:cs="黑体"/>
          <w:sz w:val="24"/>
          <w:szCs w:val="24"/>
          <w:shd w:val="clear" w:color="auto" w:fill="FFFFFF"/>
        </w:rPr>
        <w:t>计量特性</w:t>
      </w:r>
    </w:p>
    <w:p w14:paraId="66504898">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5.1测量范围和最大允许误差</w:t>
      </w:r>
    </w:p>
    <w:p w14:paraId="6D210CBC">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电测量仪表的直流电流、直流电压、交流电流、交流电压、交流功率、频率</w:t>
      </w:r>
      <w:r>
        <w:rPr>
          <w:rFonts w:hint="eastAsia" w:asciiTheme="minorEastAsia" w:hAnsiTheme="minorEastAsia" w:eastAsiaTheme="minorEastAsia" w:cstheme="minorEastAsia"/>
          <w:spacing w:val="2"/>
          <w:sz w:val="24"/>
          <w:shd w:val="clear" w:color="auto" w:fill="FFFFFF"/>
          <w:lang w:eastAsia="zh-CN"/>
        </w:rPr>
        <w:t>、</w:t>
      </w:r>
      <w:r>
        <w:rPr>
          <w:rFonts w:hint="eastAsia" w:asciiTheme="minorEastAsia" w:hAnsiTheme="minorEastAsia" w:eastAsiaTheme="minorEastAsia" w:cstheme="minorEastAsia"/>
          <w:color w:val="FF0000"/>
          <w:spacing w:val="2"/>
          <w:sz w:val="24"/>
          <w:shd w:val="clear" w:color="auto" w:fill="FFFFFF"/>
          <w:lang w:eastAsia="zh-CN"/>
        </w:rPr>
        <w:t>相位、功率因数</w:t>
      </w:r>
      <w:r>
        <w:rPr>
          <w:rFonts w:hint="eastAsia" w:asciiTheme="minorEastAsia" w:hAnsiTheme="minorEastAsia" w:eastAsiaTheme="minorEastAsia" w:cstheme="minorEastAsia"/>
          <w:spacing w:val="2"/>
          <w:sz w:val="24"/>
          <w:shd w:val="clear" w:color="auto" w:fill="FFFFFF"/>
        </w:rPr>
        <w:t>的测量范围和最大允许误差见表1</w:t>
      </w:r>
    </w:p>
    <w:p w14:paraId="530BD676">
      <w:pPr>
        <w:pStyle w:val="4"/>
        <w:spacing w:before="156" w:beforeLines="50" w:line="360" w:lineRule="auto"/>
        <w:ind w:right="25" w:rightChars="1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表1测量范围和最大允许误差</w:t>
      </w:r>
    </w:p>
    <w:tbl>
      <w:tblPr>
        <w:tblStyle w:val="10"/>
        <w:tblW w:w="8805" w:type="dxa"/>
        <w:tblInd w:w="91" w:type="dxa"/>
        <w:tblLayout w:type="autofit"/>
        <w:tblCellMar>
          <w:top w:w="0" w:type="dxa"/>
          <w:left w:w="108" w:type="dxa"/>
          <w:bottom w:w="0" w:type="dxa"/>
          <w:right w:w="108" w:type="dxa"/>
        </w:tblCellMar>
      </w:tblPr>
      <w:tblGrid>
        <w:gridCol w:w="2965"/>
        <w:gridCol w:w="2920"/>
        <w:gridCol w:w="2920"/>
      </w:tblGrid>
      <w:tr w14:paraId="4BA57D68">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30D6CEDA">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功能</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4CFE1C59">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测量范围</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441FC5B3">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最大允许误差</w:t>
            </w:r>
          </w:p>
        </w:tc>
      </w:tr>
      <w:tr w14:paraId="23696C54">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55A4C199">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交流电流</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3904D743">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（0.1～1000）A</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19344980">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±0.5%及以下　</w:t>
            </w:r>
          </w:p>
        </w:tc>
      </w:tr>
      <w:tr w14:paraId="42BB8FEC">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3814C7DC">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交流电压</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1AE2DD53">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（0.1～1000）V　</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03621D35">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±0.1%及以下</w:t>
            </w:r>
          </w:p>
        </w:tc>
      </w:tr>
      <w:tr w14:paraId="1E190D00">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2D658352">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直流电流</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69AAFD2D">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（0.1～1000）A</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35D20C13">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±0.1%及以下</w:t>
            </w:r>
          </w:p>
        </w:tc>
      </w:tr>
      <w:tr w14:paraId="269CC0E2">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08A7979D">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直流电压</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761E9CC6">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（0.1～1000）V　</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4F8EC91B">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±0.1%及以下</w:t>
            </w:r>
          </w:p>
        </w:tc>
      </w:tr>
      <w:tr w14:paraId="259AB841">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1E48E9E9">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交流功率</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2F827D63">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10mW～40kW</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499B288B">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±0.5%及以下</w:t>
            </w:r>
          </w:p>
        </w:tc>
      </w:tr>
      <w:tr w14:paraId="0A82822E">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250236AF">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频率</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3BCDD11C">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40Hz～1kHz</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41E5D071">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±0.1%及以下</w:t>
            </w:r>
          </w:p>
        </w:tc>
      </w:tr>
      <w:tr w14:paraId="10B7237B">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156B6E3B">
            <w:pPr>
              <w:widowControl/>
              <w:spacing w:line="360" w:lineRule="auto"/>
              <w:jc w:val="center"/>
              <w:rPr>
                <w:rFonts w:hint="eastAsia"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FF0000"/>
                <w:kern w:val="0"/>
                <w:szCs w:val="21"/>
              </w:rPr>
              <w:t>相位</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359AB27F">
            <w:pPr>
              <w:widowControl/>
              <w:spacing w:line="360" w:lineRule="auto"/>
              <w:jc w:val="center"/>
              <w:rPr>
                <w:rFonts w:hint="eastAsia"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FF0000"/>
                <w:kern w:val="0"/>
                <w:szCs w:val="21"/>
              </w:rPr>
              <w:t>（0.000～359.999）°</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3C250F28">
            <w:pPr>
              <w:widowControl/>
              <w:spacing w:line="360" w:lineRule="auto"/>
              <w:jc w:val="center"/>
              <w:rPr>
                <w:rFonts w:hint="eastAsia"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FF0000"/>
                <w:kern w:val="0"/>
                <w:szCs w:val="21"/>
              </w:rPr>
              <w:t>±0.</w:t>
            </w:r>
            <w:r>
              <w:rPr>
                <w:rFonts w:hint="eastAsia" w:asciiTheme="minorEastAsia" w:hAnsiTheme="minorEastAsia" w:eastAsiaTheme="minorEastAsia" w:cstheme="minorEastAsia"/>
                <w:color w:val="FF0000"/>
                <w:kern w:val="0"/>
                <w:szCs w:val="21"/>
                <w:lang w:val="en-US" w:eastAsia="zh-CN"/>
              </w:rPr>
              <w:t>5</w:t>
            </w:r>
            <w:r>
              <w:rPr>
                <w:rFonts w:hint="eastAsia" w:asciiTheme="minorEastAsia" w:hAnsiTheme="minorEastAsia" w:eastAsiaTheme="minorEastAsia" w:cstheme="minorEastAsia"/>
                <w:color w:val="FF0000"/>
                <w:kern w:val="0"/>
                <w:szCs w:val="21"/>
              </w:rPr>
              <w:t>%及以下</w:t>
            </w:r>
          </w:p>
        </w:tc>
      </w:tr>
      <w:tr w14:paraId="6EEF6319">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4BC33F11">
            <w:pPr>
              <w:widowControl/>
              <w:spacing w:line="360" w:lineRule="auto"/>
              <w:jc w:val="center"/>
              <w:rPr>
                <w:rFonts w:hint="eastAsia"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FF0000"/>
                <w:kern w:val="0"/>
                <w:szCs w:val="21"/>
              </w:rPr>
              <w:t>功率因数</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5D93399E">
            <w:pPr>
              <w:widowControl/>
              <w:spacing w:line="360" w:lineRule="auto"/>
              <w:jc w:val="center"/>
              <w:rPr>
                <w:rFonts w:hint="eastAsia"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FF0000"/>
                <w:kern w:val="0"/>
                <w:szCs w:val="21"/>
                <w:lang w:val="en-US" w:eastAsia="zh-CN"/>
              </w:rPr>
              <w:t>（-1.000</w:t>
            </w:r>
            <w:r>
              <w:rPr>
                <w:rFonts w:hint="eastAsia" w:asciiTheme="minorEastAsia" w:hAnsiTheme="minorEastAsia" w:eastAsiaTheme="minorEastAsia" w:cstheme="minorEastAsia"/>
                <w:color w:val="FF0000"/>
                <w:kern w:val="0"/>
                <w:szCs w:val="21"/>
              </w:rPr>
              <w:t>～1</w:t>
            </w:r>
            <w:r>
              <w:rPr>
                <w:rFonts w:hint="eastAsia" w:asciiTheme="minorEastAsia" w:hAnsiTheme="minorEastAsia" w:eastAsiaTheme="minorEastAsia" w:cstheme="minorEastAsia"/>
                <w:color w:val="FF0000"/>
                <w:kern w:val="0"/>
                <w:szCs w:val="21"/>
                <w:lang w:val="en-US" w:eastAsia="zh-CN"/>
              </w:rPr>
              <w:t>.000</w:t>
            </w:r>
            <w:r>
              <w:rPr>
                <w:rFonts w:hint="eastAsia" w:asciiTheme="minorEastAsia" w:hAnsiTheme="minorEastAsia" w:eastAsiaTheme="minorEastAsia" w:cstheme="minorEastAsia"/>
                <w:color w:val="FF0000"/>
                <w:kern w:val="0"/>
                <w:szCs w:val="21"/>
              </w:rPr>
              <w:t>）</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0860EA06">
            <w:pPr>
              <w:widowControl/>
              <w:spacing w:line="360" w:lineRule="auto"/>
              <w:jc w:val="center"/>
              <w:rPr>
                <w:rFonts w:hint="eastAsia"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FF0000"/>
                <w:kern w:val="0"/>
                <w:szCs w:val="21"/>
              </w:rPr>
              <w:t>±0.</w:t>
            </w:r>
            <w:r>
              <w:rPr>
                <w:rFonts w:hint="eastAsia" w:asciiTheme="minorEastAsia" w:hAnsiTheme="minorEastAsia" w:eastAsiaTheme="minorEastAsia" w:cstheme="minorEastAsia"/>
                <w:color w:val="FF0000"/>
                <w:kern w:val="0"/>
                <w:szCs w:val="21"/>
                <w:lang w:val="en-US" w:eastAsia="zh-CN"/>
              </w:rPr>
              <w:t>5</w:t>
            </w:r>
            <w:r>
              <w:rPr>
                <w:rFonts w:hint="eastAsia" w:asciiTheme="minorEastAsia" w:hAnsiTheme="minorEastAsia" w:eastAsiaTheme="minorEastAsia" w:cstheme="minorEastAsia"/>
                <w:color w:val="FF0000"/>
                <w:kern w:val="0"/>
                <w:szCs w:val="21"/>
              </w:rPr>
              <w:t>%及以下</w:t>
            </w:r>
          </w:p>
        </w:tc>
      </w:tr>
      <w:tr w14:paraId="3FDA7CDF">
        <w:tblPrEx>
          <w:tblCellMar>
            <w:top w:w="0" w:type="dxa"/>
            <w:left w:w="108" w:type="dxa"/>
            <w:bottom w:w="0" w:type="dxa"/>
            <w:right w:w="108" w:type="dxa"/>
          </w:tblCellMar>
        </w:tblPrEx>
        <w:trPr>
          <w:trHeight w:val="425" w:hRule="exact"/>
        </w:trPr>
        <w:tc>
          <w:tcPr>
            <w:tcW w:w="2965"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304304E7">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电能误差</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31C4EC5A">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（0～100</w:t>
            </w:r>
            <w:r>
              <w:rPr>
                <w:rFonts w:hint="eastAsia" w:asciiTheme="minorEastAsia" w:hAnsiTheme="minorEastAsia" w:eastAsiaTheme="minorEastAsia" w:cstheme="minorEastAsia"/>
                <w:kern w:val="0"/>
                <w:szCs w:val="21"/>
                <w:lang w:val="en-US" w:eastAsia="zh-CN"/>
              </w:rPr>
              <w:t>.0</w:t>
            </w:r>
            <w:r>
              <w:rPr>
                <w:rFonts w:hint="eastAsia" w:asciiTheme="minorEastAsia" w:hAnsiTheme="minorEastAsia" w:eastAsiaTheme="minorEastAsia" w:cstheme="minorEastAsia"/>
                <w:kern w:val="0"/>
                <w:szCs w:val="21"/>
              </w:rPr>
              <w:t>）%　　</w:t>
            </w:r>
          </w:p>
        </w:tc>
        <w:tc>
          <w:tcPr>
            <w:tcW w:w="2920" w:type="dxa"/>
            <w:tcBorders>
              <w:top w:val="single" w:color="auto" w:sz="4" w:space="0"/>
              <w:left w:val="nil"/>
              <w:bottom w:val="single" w:color="auto" w:sz="4" w:space="0"/>
              <w:right w:val="single" w:color="000000" w:sz="4" w:space="0"/>
            </w:tcBorders>
            <w:shd w:val="clear" w:color="auto" w:fill="auto"/>
            <w:noWrap/>
            <w:vAlign w:val="center"/>
          </w:tcPr>
          <w:p w14:paraId="66FC5A9E">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±1.0%及以下</w:t>
            </w:r>
          </w:p>
        </w:tc>
      </w:tr>
    </w:tbl>
    <w:p w14:paraId="08F8F472">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电测量仪表的有功电能、无功电能以及安装式交流电能表的有功电能、无功电能的不同等级对应的最大允许误差见表2</w:t>
      </w:r>
    </w:p>
    <w:p w14:paraId="77AA205A">
      <w:pPr>
        <w:pStyle w:val="4"/>
        <w:spacing w:before="156" w:beforeLines="50" w:line="360" w:lineRule="auto"/>
        <w:ind w:right="25" w:rightChars="12"/>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表2不同等级对应的最大允许误差</w:t>
      </w:r>
    </w:p>
    <w:tbl>
      <w:tblPr>
        <w:tblStyle w:val="10"/>
        <w:tblW w:w="8792"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2"/>
        <w:gridCol w:w="2415"/>
        <w:gridCol w:w="1545"/>
        <w:gridCol w:w="1545"/>
        <w:gridCol w:w="1545"/>
      </w:tblGrid>
      <w:tr w14:paraId="3BB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42" w:type="dxa"/>
            <w:vMerge w:val="restart"/>
            <w:tcBorders>
              <w:tl2br w:val="nil"/>
              <w:tr2bl w:val="nil"/>
            </w:tcBorders>
            <w:shd w:val="clear" w:color="auto" w:fill="auto"/>
            <w:noWrap/>
            <w:vAlign w:val="center"/>
          </w:tcPr>
          <w:p w14:paraId="5AE32271">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i/>
                <w:iCs/>
                <w:kern w:val="0"/>
                <w:szCs w:val="21"/>
              </w:rPr>
              <w:t>I</w:t>
            </w:r>
            <w:r>
              <w:rPr>
                <w:rFonts w:hint="eastAsia" w:asciiTheme="minorEastAsia" w:hAnsiTheme="minorEastAsia" w:eastAsiaTheme="minorEastAsia" w:cstheme="minorEastAsia"/>
                <w:kern w:val="0"/>
                <w:szCs w:val="21"/>
                <w:vertAlign w:val="subscript"/>
              </w:rPr>
              <w:t>b</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iCs/>
                <w:kern w:val="0"/>
                <w:szCs w:val="21"/>
              </w:rPr>
              <w:t>I</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i/>
                <w:iCs/>
                <w:kern w:val="0"/>
                <w:szCs w:val="21"/>
              </w:rPr>
              <w:t>I</w:t>
            </w:r>
            <w:r>
              <w:rPr>
                <w:rFonts w:hint="eastAsia" w:asciiTheme="minorEastAsia" w:hAnsiTheme="minorEastAsia" w:eastAsiaTheme="minorEastAsia" w:cstheme="minorEastAsia"/>
                <w:kern w:val="0"/>
                <w:szCs w:val="21"/>
                <w:vertAlign w:val="subscript"/>
              </w:rPr>
              <w:t>max</w:t>
            </w:r>
          </w:p>
        </w:tc>
        <w:tc>
          <w:tcPr>
            <w:tcW w:w="2415" w:type="dxa"/>
            <w:vMerge w:val="restart"/>
            <w:tcBorders>
              <w:tl2br w:val="nil"/>
              <w:tr2bl w:val="nil"/>
            </w:tcBorders>
            <w:shd w:val="clear" w:color="auto" w:fill="auto"/>
            <w:noWrap/>
            <w:vAlign w:val="center"/>
          </w:tcPr>
          <w:p w14:paraId="3F91426A">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电能（等级）</w:t>
            </w:r>
          </w:p>
        </w:tc>
        <w:tc>
          <w:tcPr>
            <w:tcW w:w="1545" w:type="dxa"/>
            <w:tcBorders>
              <w:tl2br w:val="nil"/>
              <w:tr2bl w:val="nil"/>
            </w:tcBorders>
            <w:shd w:val="clear" w:color="auto" w:fill="auto"/>
            <w:noWrap/>
            <w:vAlign w:val="center"/>
          </w:tcPr>
          <w:p w14:paraId="431B1C4D">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0.5S</w:t>
            </w:r>
          </w:p>
        </w:tc>
        <w:tc>
          <w:tcPr>
            <w:tcW w:w="1545" w:type="dxa"/>
            <w:tcBorders>
              <w:tl2br w:val="nil"/>
              <w:tr2bl w:val="nil"/>
            </w:tcBorders>
            <w:shd w:val="clear" w:color="auto" w:fill="auto"/>
            <w:noWrap/>
            <w:vAlign w:val="center"/>
          </w:tcPr>
          <w:p w14:paraId="556477FF">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545" w:type="dxa"/>
            <w:tcBorders>
              <w:tl2br w:val="nil"/>
              <w:tr2bl w:val="nil"/>
            </w:tcBorders>
            <w:shd w:val="clear" w:color="auto" w:fill="auto"/>
            <w:noWrap/>
            <w:vAlign w:val="center"/>
          </w:tcPr>
          <w:p w14:paraId="7018859D">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r>
      <w:tr w14:paraId="6057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42" w:type="dxa"/>
            <w:vMerge w:val="continue"/>
            <w:tcBorders>
              <w:tl2br w:val="nil"/>
              <w:tr2bl w:val="nil"/>
            </w:tcBorders>
            <w:shd w:val="clear" w:color="auto" w:fill="auto"/>
            <w:noWrap/>
            <w:vAlign w:val="center"/>
          </w:tcPr>
          <w:p w14:paraId="608BB351">
            <w:pPr>
              <w:widowControl/>
              <w:spacing w:line="360" w:lineRule="auto"/>
              <w:jc w:val="center"/>
              <w:rPr>
                <w:rFonts w:asciiTheme="minorEastAsia" w:hAnsiTheme="minorEastAsia" w:eastAsiaTheme="minorEastAsia" w:cstheme="minorEastAsia"/>
                <w:kern w:val="0"/>
                <w:szCs w:val="21"/>
              </w:rPr>
            </w:pPr>
          </w:p>
        </w:tc>
        <w:tc>
          <w:tcPr>
            <w:tcW w:w="2415" w:type="dxa"/>
            <w:vMerge w:val="continue"/>
            <w:tcBorders>
              <w:tl2br w:val="nil"/>
              <w:tr2bl w:val="nil"/>
            </w:tcBorders>
            <w:shd w:val="clear" w:color="auto" w:fill="auto"/>
            <w:noWrap/>
            <w:vAlign w:val="center"/>
          </w:tcPr>
          <w:p w14:paraId="46A54429">
            <w:pPr>
              <w:widowControl/>
              <w:spacing w:line="360" w:lineRule="auto"/>
              <w:jc w:val="center"/>
              <w:rPr>
                <w:rFonts w:asciiTheme="minorEastAsia" w:hAnsiTheme="minorEastAsia" w:eastAsiaTheme="minorEastAsia" w:cstheme="minorEastAsia"/>
                <w:kern w:val="0"/>
                <w:szCs w:val="21"/>
              </w:rPr>
            </w:pPr>
          </w:p>
        </w:tc>
        <w:tc>
          <w:tcPr>
            <w:tcW w:w="1545" w:type="dxa"/>
            <w:tcBorders>
              <w:tl2br w:val="nil"/>
              <w:tr2bl w:val="nil"/>
            </w:tcBorders>
            <w:shd w:val="clear" w:color="auto" w:fill="auto"/>
            <w:noWrap/>
            <w:vAlign w:val="center"/>
          </w:tcPr>
          <w:p w14:paraId="29552FF3">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C</w:t>
            </w:r>
          </w:p>
        </w:tc>
        <w:tc>
          <w:tcPr>
            <w:tcW w:w="1545" w:type="dxa"/>
            <w:tcBorders>
              <w:tl2br w:val="nil"/>
              <w:tr2bl w:val="nil"/>
            </w:tcBorders>
            <w:shd w:val="clear" w:color="auto" w:fill="auto"/>
            <w:noWrap/>
            <w:vAlign w:val="center"/>
          </w:tcPr>
          <w:p w14:paraId="49DE497B">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B</w:t>
            </w:r>
          </w:p>
        </w:tc>
        <w:tc>
          <w:tcPr>
            <w:tcW w:w="1545" w:type="dxa"/>
            <w:tcBorders>
              <w:tl2br w:val="nil"/>
              <w:tr2bl w:val="nil"/>
            </w:tcBorders>
            <w:shd w:val="clear" w:color="auto" w:fill="auto"/>
            <w:noWrap/>
            <w:vAlign w:val="center"/>
          </w:tcPr>
          <w:p w14:paraId="2E68EE95">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A</w:t>
            </w:r>
          </w:p>
        </w:tc>
      </w:tr>
      <w:tr w14:paraId="52CD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1742" w:type="dxa"/>
            <w:vMerge w:val="continue"/>
            <w:tcBorders>
              <w:tl2br w:val="nil"/>
              <w:tr2bl w:val="nil"/>
            </w:tcBorders>
            <w:shd w:val="clear" w:color="auto" w:fill="auto"/>
            <w:vAlign w:val="center"/>
          </w:tcPr>
          <w:p w14:paraId="3CF2C22A">
            <w:pPr>
              <w:widowControl/>
              <w:spacing w:line="360" w:lineRule="auto"/>
              <w:jc w:val="center"/>
              <w:rPr>
                <w:rFonts w:asciiTheme="minorEastAsia" w:hAnsiTheme="minorEastAsia" w:eastAsiaTheme="minorEastAsia" w:cstheme="minorEastAsia"/>
                <w:kern w:val="0"/>
                <w:szCs w:val="21"/>
              </w:rPr>
            </w:pPr>
          </w:p>
        </w:tc>
        <w:tc>
          <w:tcPr>
            <w:tcW w:w="2415" w:type="dxa"/>
            <w:tcBorders>
              <w:tl2br w:val="nil"/>
              <w:tr2bl w:val="nil"/>
            </w:tcBorders>
            <w:shd w:val="clear" w:color="auto" w:fill="auto"/>
            <w:noWrap/>
            <w:vAlign w:val="center"/>
          </w:tcPr>
          <w:p w14:paraId="61328F35">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对应相对最大允许误差</w:t>
            </w:r>
          </w:p>
        </w:tc>
        <w:tc>
          <w:tcPr>
            <w:tcW w:w="1545" w:type="dxa"/>
            <w:tcBorders>
              <w:tl2br w:val="nil"/>
              <w:tr2bl w:val="nil"/>
            </w:tcBorders>
            <w:shd w:val="clear" w:color="auto" w:fill="auto"/>
            <w:noWrap/>
            <w:vAlign w:val="center"/>
          </w:tcPr>
          <w:p w14:paraId="2FD0155D">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±0.5%</w:t>
            </w:r>
          </w:p>
        </w:tc>
        <w:tc>
          <w:tcPr>
            <w:tcW w:w="1545" w:type="dxa"/>
            <w:tcBorders>
              <w:tl2br w:val="nil"/>
              <w:tr2bl w:val="nil"/>
            </w:tcBorders>
            <w:shd w:val="clear" w:color="auto" w:fill="auto"/>
            <w:noWrap/>
            <w:vAlign w:val="center"/>
          </w:tcPr>
          <w:p w14:paraId="3335727F">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545" w:type="dxa"/>
            <w:tcBorders>
              <w:tl2br w:val="nil"/>
              <w:tr2bl w:val="nil"/>
            </w:tcBorders>
            <w:shd w:val="clear" w:color="auto" w:fill="auto"/>
            <w:noWrap/>
            <w:vAlign w:val="center"/>
          </w:tcPr>
          <w:p w14:paraId="14DC89AB">
            <w:pPr>
              <w:widowControl/>
              <w:spacing w:line="360" w:lineRule="auto"/>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r>
    </w:tbl>
    <w:p w14:paraId="4EB697EE">
      <w:pPr>
        <w:pStyle w:val="4"/>
        <w:spacing w:before="156" w:beforeLines="50"/>
        <w:ind w:right="25" w:rightChars="12"/>
        <w:rPr>
          <w:rFonts w:hAnsi="宋体" w:cs="宋体" w:eastAsiaTheme="minorEastAsia"/>
          <w:szCs w:val="21"/>
        </w:rPr>
      </w:pPr>
      <w:r>
        <w:rPr>
          <w:rFonts w:hint="eastAsia" w:hAnsi="宋体" w:cs="宋体"/>
          <w:szCs w:val="21"/>
        </w:rPr>
        <w:t>注：</w:t>
      </w:r>
      <w:r>
        <w:rPr>
          <w:rFonts w:hint="eastAsia" w:asciiTheme="minorEastAsia" w:hAnsiTheme="minorEastAsia" w:eastAsiaTheme="minorEastAsia" w:cstheme="minorEastAsia"/>
          <w:i/>
          <w:iCs/>
          <w:kern w:val="0"/>
          <w:szCs w:val="21"/>
        </w:rPr>
        <w:t>I</w:t>
      </w:r>
      <w:r>
        <w:rPr>
          <w:rFonts w:hint="eastAsia" w:asciiTheme="minorEastAsia" w:hAnsiTheme="minorEastAsia" w:eastAsiaTheme="minorEastAsia" w:cstheme="minorEastAsia"/>
          <w:kern w:val="0"/>
          <w:szCs w:val="21"/>
          <w:vertAlign w:val="subscript"/>
        </w:rPr>
        <w:t>b</w:t>
      </w:r>
      <w:r>
        <w:rPr>
          <w:rFonts w:hint="eastAsia" w:asciiTheme="minorEastAsia" w:hAnsiTheme="minorEastAsia" w:eastAsiaTheme="minorEastAsia" w:cstheme="minorEastAsia"/>
          <w:kern w:val="0"/>
          <w:szCs w:val="21"/>
        </w:rPr>
        <w:t>表示额定负载电流；</w:t>
      </w:r>
      <w:r>
        <w:rPr>
          <w:rFonts w:hint="eastAsia" w:asciiTheme="minorEastAsia" w:hAnsiTheme="minorEastAsia" w:eastAsiaTheme="minorEastAsia" w:cstheme="minorEastAsia"/>
          <w:i/>
          <w:iCs/>
          <w:kern w:val="0"/>
          <w:szCs w:val="21"/>
        </w:rPr>
        <w:t>I</w:t>
      </w:r>
      <w:r>
        <w:rPr>
          <w:rFonts w:hint="eastAsia" w:asciiTheme="minorEastAsia" w:hAnsiTheme="minorEastAsia" w:eastAsiaTheme="minorEastAsia" w:cstheme="minorEastAsia"/>
          <w:kern w:val="0"/>
          <w:szCs w:val="21"/>
          <w:vertAlign w:val="subscript"/>
        </w:rPr>
        <w:t>max</w:t>
      </w:r>
      <w:r>
        <w:rPr>
          <w:rFonts w:hint="eastAsia" w:asciiTheme="minorEastAsia" w:hAnsiTheme="minorEastAsia" w:eastAsiaTheme="minorEastAsia" w:cstheme="minorEastAsia"/>
          <w:kern w:val="0"/>
          <w:szCs w:val="21"/>
        </w:rPr>
        <w:t>表示最大负载电流。</w:t>
      </w:r>
    </w:p>
    <w:p w14:paraId="21E12429">
      <w:pPr>
        <w:pStyle w:val="4"/>
        <w:spacing w:before="156" w:beforeLines="50" w:line="360" w:lineRule="auto"/>
        <w:ind w:right="25" w:rightChars="12"/>
        <w:rPr>
          <w:rFonts w:ascii="黑体" w:hAnsi="黑体" w:eastAsia="黑体" w:cs="黑体"/>
          <w:bCs/>
          <w:sz w:val="24"/>
          <w:szCs w:val="24"/>
        </w:rPr>
      </w:pPr>
      <w:r>
        <w:rPr>
          <w:rFonts w:hint="eastAsia" w:ascii="黑体" w:hAnsi="黑体" w:eastAsia="黑体" w:cs="黑体"/>
          <w:sz w:val="24"/>
          <w:szCs w:val="24"/>
        </w:rPr>
        <w:t>6校准条件</w:t>
      </w:r>
    </w:p>
    <w:p w14:paraId="2B8F4E40">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6.1 环境条件</w:t>
      </w:r>
    </w:p>
    <w:p w14:paraId="7B8A9116">
      <w:pPr>
        <w:spacing w:line="360" w:lineRule="auto"/>
        <w:rPr>
          <w:rFonts w:hint="eastAsia" w:asciiTheme="minorEastAsia" w:hAnsiTheme="minorEastAsia" w:eastAsiaTheme="minorEastAsia" w:cstheme="minorEastAsia"/>
          <w:color w:val="FF0000"/>
          <w:sz w:val="24"/>
          <w:lang w:eastAsia="zh-CN"/>
        </w:rPr>
      </w:pPr>
      <w:r>
        <w:rPr>
          <w:rFonts w:hint="eastAsia" w:asciiTheme="minorEastAsia" w:hAnsiTheme="minorEastAsia" w:eastAsiaTheme="minorEastAsia" w:cstheme="minorEastAsia"/>
          <w:spacing w:val="2"/>
          <w:sz w:val="24"/>
          <w:shd w:val="clear" w:color="auto" w:fill="FFFFFF"/>
        </w:rPr>
        <w:t>6.1.1 环境温度：</w:t>
      </w:r>
      <w:r>
        <w:rPr>
          <w:rFonts w:hint="eastAsia" w:asciiTheme="minorEastAsia" w:hAnsiTheme="minorEastAsia" w:eastAsiaTheme="minorEastAsia" w:cstheme="minorEastAsia"/>
          <w:color w:val="FF0000"/>
          <w:sz w:val="24"/>
          <w:lang w:eastAsia="zh-CN"/>
        </w:rPr>
        <w:t>测电能时</w:t>
      </w:r>
      <w:r>
        <w:rPr>
          <w:rFonts w:hint="eastAsia" w:asciiTheme="minorEastAsia" w:hAnsiTheme="minorEastAsia" w:eastAsiaTheme="minorEastAsia" w:cstheme="minorEastAsia"/>
          <w:color w:val="FF0000"/>
          <w:sz w:val="24"/>
        </w:rPr>
        <w:t>（-10～45）℃；</w:t>
      </w:r>
    </w:p>
    <w:p w14:paraId="3A993CA4">
      <w:pPr>
        <w:spacing w:line="360" w:lineRule="auto"/>
        <w:ind w:firstLine="1952" w:firstLineChars="800"/>
        <w:rPr>
          <w:rFonts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lang w:eastAsia="zh-CN"/>
        </w:rPr>
        <w:t>其它参量</w:t>
      </w:r>
      <w:r>
        <w:rPr>
          <w:rFonts w:hint="eastAsia" w:asciiTheme="minorEastAsia" w:hAnsiTheme="minorEastAsia" w:eastAsiaTheme="minorEastAsia" w:cstheme="minorEastAsia"/>
          <w:color w:val="FF0000"/>
          <w:spacing w:val="2"/>
          <w:sz w:val="24"/>
          <w:shd w:val="clear" w:color="auto" w:fill="FFFFFF"/>
        </w:rPr>
        <w:t>（-25～55）℃；</w:t>
      </w:r>
    </w:p>
    <w:p w14:paraId="4AE482E7">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6.1.2 相对湿度：≤90% 。</w:t>
      </w:r>
    </w:p>
    <w:p w14:paraId="2088FDE9">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6.2测量标准及其他设备</w:t>
      </w:r>
    </w:p>
    <w:p w14:paraId="43F24C8C">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6.2.1标准电压表；</w:t>
      </w:r>
    </w:p>
    <w:p w14:paraId="3669A392">
      <w:pPr>
        <w:spacing w:line="360" w:lineRule="auto"/>
        <w:ind w:firstLine="732" w:firstLineChars="3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标准钳形电流表；</w:t>
      </w:r>
    </w:p>
    <w:p w14:paraId="3C2DB272">
      <w:pPr>
        <w:spacing w:line="360" w:lineRule="auto"/>
        <w:ind w:firstLine="732" w:firstLineChars="3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非介入式标准功率表；</w:t>
      </w:r>
    </w:p>
    <w:p w14:paraId="1FAE1854">
      <w:pPr>
        <w:spacing w:line="360" w:lineRule="auto"/>
        <w:ind w:firstLine="732" w:firstLineChars="3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标准频率表；</w:t>
      </w:r>
    </w:p>
    <w:p w14:paraId="3A730E6A">
      <w:pPr>
        <w:spacing w:line="360" w:lineRule="auto"/>
        <w:ind w:firstLine="732" w:firstLineChars="3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电能表现场校验仪等。</w:t>
      </w:r>
    </w:p>
    <w:p w14:paraId="271ACE92">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6.2.2标准装置的扩展不确定度应小于被测量仪的最大允许误差绝对值1/3。标准装置的功能和测量范围要完全覆盖</w:t>
      </w:r>
      <w:r>
        <w:rPr>
          <w:rFonts w:hint="eastAsia" w:asciiTheme="minorEastAsia" w:hAnsiTheme="minorEastAsia" w:eastAsiaTheme="minorEastAsia" w:cstheme="minorEastAsia"/>
          <w:color w:val="FF0000"/>
          <w:spacing w:val="2"/>
          <w:sz w:val="24"/>
          <w:shd w:val="clear" w:color="auto" w:fill="FFFFFF"/>
        </w:rPr>
        <w:t>被测</w:t>
      </w:r>
      <w:r>
        <w:rPr>
          <w:rFonts w:hint="eastAsia" w:asciiTheme="minorEastAsia" w:hAnsiTheme="minorEastAsia" w:eastAsiaTheme="minorEastAsia" w:cstheme="minorEastAsia"/>
          <w:color w:val="FF0000"/>
          <w:spacing w:val="2"/>
          <w:sz w:val="24"/>
          <w:shd w:val="clear" w:color="auto" w:fill="FFFFFF"/>
          <w:lang w:eastAsia="zh-CN"/>
        </w:rPr>
        <w:t>参量</w:t>
      </w:r>
      <w:r>
        <w:rPr>
          <w:rFonts w:hint="eastAsia" w:asciiTheme="minorEastAsia" w:hAnsiTheme="minorEastAsia" w:eastAsiaTheme="minorEastAsia" w:cstheme="minorEastAsia"/>
          <w:spacing w:val="2"/>
          <w:sz w:val="24"/>
          <w:shd w:val="clear" w:color="auto" w:fill="FFFFFF"/>
        </w:rPr>
        <w:t>的功能和测量范围。</w:t>
      </w:r>
    </w:p>
    <w:p w14:paraId="104F4291">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6.3现场接线时，应确保标准器和电测量仪表之间的连接导线有良好的绝缘，中间不允许有接头，防止工作中松脱；亦应有明显的极性和相别标志，以确保人身和设备的安全。</w:t>
      </w:r>
    </w:p>
    <w:p w14:paraId="7940DC24">
      <w:pPr>
        <w:spacing w:line="360" w:lineRule="auto"/>
        <w:rPr>
          <w:rFonts w:ascii="黑体" w:hAnsi="黑体" w:eastAsia="黑体" w:cs="黑体"/>
          <w:spacing w:val="2"/>
          <w:sz w:val="24"/>
          <w:shd w:val="clear" w:color="auto" w:fill="FFFFFF"/>
        </w:rPr>
      </w:pPr>
      <w:r>
        <w:rPr>
          <w:rFonts w:hint="eastAsia" w:ascii="黑体" w:hAnsi="黑体" w:eastAsia="黑体" w:cs="黑体"/>
          <w:spacing w:val="2"/>
          <w:sz w:val="24"/>
          <w:shd w:val="clear" w:color="auto" w:fill="FFFFFF"/>
        </w:rPr>
        <w:t>7校准项目和校准方法</w:t>
      </w:r>
    </w:p>
    <w:p w14:paraId="5A65BD6E">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7.1校准项目</w:t>
      </w:r>
    </w:p>
    <w:p w14:paraId="3713AE03">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校准项目见表3</w:t>
      </w:r>
    </w:p>
    <w:p w14:paraId="3918965D">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表3  校准项目一览表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5203"/>
        <w:gridCol w:w="3011"/>
      </w:tblGrid>
      <w:tr w14:paraId="1E97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vAlign w:val="top"/>
          </w:tcPr>
          <w:p w14:paraId="197055D8">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序号</w:t>
            </w:r>
          </w:p>
        </w:tc>
        <w:tc>
          <w:tcPr>
            <w:tcW w:w="5203" w:type="dxa"/>
            <w:vAlign w:val="top"/>
          </w:tcPr>
          <w:p w14:paraId="000E5E8E">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校准项目</w:t>
            </w:r>
          </w:p>
        </w:tc>
        <w:tc>
          <w:tcPr>
            <w:tcW w:w="3011" w:type="dxa"/>
            <w:vAlign w:val="top"/>
          </w:tcPr>
          <w:p w14:paraId="2F27C2FB">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校准方法条款</w:t>
            </w:r>
          </w:p>
        </w:tc>
      </w:tr>
      <w:tr w14:paraId="50BF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482BF54">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1</w:t>
            </w:r>
          </w:p>
        </w:tc>
        <w:tc>
          <w:tcPr>
            <w:tcW w:w="5203" w:type="dxa"/>
          </w:tcPr>
          <w:p w14:paraId="30FC8B50">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直流电压的相对示值误差</w:t>
            </w:r>
          </w:p>
        </w:tc>
        <w:tc>
          <w:tcPr>
            <w:tcW w:w="3011" w:type="dxa"/>
          </w:tcPr>
          <w:p w14:paraId="7D7A480B">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7.2.1</w:t>
            </w:r>
          </w:p>
        </w:tc>
      </w:tr>
      <w:tr w14:paraId="06D0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3972DCB">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2</w:t>
            </w:r>
          </w:p>
        </w:tc>
        <w:tc>
          <w:tcPr>
            <w:tcW w:w="5203" w:type="dxa"/>
          </w:tcPr>
          <w:p w14:paraId="1633308D">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直流电流的相对示值误差</w:t>
            </w:r>
          </w:p>
        </w:tc>
        <w:tc>
          <w:tcPr>
            <w:tcW w:w="3011" w:type="dxa"/>
          </w:tcPr>
          <w:p w14:paraId="6EDEC8D8">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7.2.2</w:t>
            </w:r>
          </w:p>
        </w:tc>
      </w:tr>
      <w:tr w14:paraId="621C5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1E8D800">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3</w:t>
            </w:r>
          </w:p>
        </w:tc>
        <w:tc>
          <w:tcPr>
            <w:tcW w:w="5203" w:type="dxa"/>
          </w:tcPr>
          <w:p w14:paraId="1B668CE8">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交流电压的相对示值误差</w:t>
            </w:r>
          </w:p>
        </w:tc>
        <w:tc>
          <w:tcPr>
            <w:tcW w:w="3011" w:type="dxa"/>
          </w:tcPr>
          <w:p w14:paraId="4663F46D">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7.2.3</w:t>
            </w:r>
          </w:p>
        </w:tc>
      </w:tr>
      <w:tr w14:paraId="0D19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A8BDD81">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4</w:t>
            </w:r>
          </w:p>
        </w:tc>
        <w:tc>
          <w:tcPr>
            <w:tcW w:w="5203" w:type="dxa"/>
          </w:tcPr>
          <w:p w14:paraId="57154D4D">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交流电流的相对示值误差</w:t>
            </w:r>
          </w:p>
        </w:tc>
        <w:tc>
          <w:tcPr>
            <w:tcW w:w="3011" w:type="dxa"/>
          </w:tcPr>
          <w:p w14:paraId="1D4355D4">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7.2.4</w:t>
            </w:r>
          </w:p>
        </w:tc>
      </w:tr>
      <w:tr w14:paraId="7508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E6A440C">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5</w:t>
            </w:r>
          </w:p>
        </w:tc>
        <w:tc>
          <w:tcPr>
            <w:tcW w:w="5203" w:type="dxa"/>
          </w:tcPr>
          <w:p w14:paraId="3EF1B824">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交流功率的相对示值误差</w:t>
            </w:r>
          </w:p>
        </w:tc>
        <w:tc>
          <w:tcPr>
            <w:tcW w:w="3011" w:type="dxa"/>
          </w:tcPr>
          <w:p w14:paraId="49C92898">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7.2.5</w:t>
            </w:r>
          </w:p>
        </w:tc>
      </w:tr>
      <w:tr w14:paraId="17F9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823A412">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6</w:t>
            </w:r>
          </w:p>
        </w:tc>
        <w:tc>
          <w:tcPr>
            <w:tcW w:w="5203" w:type="dxa"/>
          </w:tcPr>
          <w:p w14:paraId="00F0018F">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频率的相对示值误差</w:t>
            </w:r>
          </w:p>
        </w:tc>
        <w:tc>
          <w:tcPr>
            <w:tcW w:w="3011" w:type="dxa"/>
          </w:tcPr>
          <w:p w14:paraId="088CF888">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7.2.6</w:t>
            </w:r>
          </w:p>
        </w:tc>
      </w:tr>
      <w:tr w14:paraId="68F1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F9CB52F">
            <w:pPr>
              <w:spacing w:line="360" w:lineRule="auto"/>
              <w:jc w:val="center"/>
              <w:rPr>
                <w:rFonts w:hint="eastAsia"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7</w:t>
            </w:r>
          </w:p>
        </w:tc>
        <w:tc>
          <w:tcPr>
            <w:tcW w:w="5203" w:type="dxa"/>
          </w:tcPr>
          <w:p w14:paraId="78D1A702">
            <w:pPr>
              <w:spacing w:line="360" w:lineRule="auto"/>
              <w:jc w:val="center"/>
              <w:rPr>
                <w:rFonts w:hint="eastAsia" w:asciiTheme="minorEastAsia" w:hAnsiTheme="minorEastAsia" w:eastAsiaTheme="minorEastAsia" w:cstheme="minorEastAsia"/>
                <w:color w:val="FF0000"/>
                <w:spacing w:val="2"/>
                <w:szCs w:val="21"/>
                <w:shd w:val="clear" w:color="auto" w:fill="FFFFFF"/>
              </w:rPr>
            </w:pPr>
            <w:r>
              <w:rPr>
                <w:rFonts w:hint="eastAsia" w:asciiTheme="minorEastAsia" w:hAnsiTheme="minorEastAsia" w:eastAsiaTheme="minorEastAsia" w:cstheme="minorEastAsia"/>
                <w:color w:val="FF0000"/>
                <w:spacing w:val="2"/>
                <w:szCs w:val="21"/>
                <w:shd w:val="clear" w:color="auto" w:fill="FFFFFF"/>
                <w:lang w:eastAsia="zh-CN"/>
              </w:rPr>
              <w:t>相位</w:t>
            </w:r>
            <w:r>
              <w:rPr>
                <w:rFonts w:hint="eastAsia" w:asciiTheme="minorEastAsia" w:hAnsiTheme="minorEastAsia" w:eastAsiaTheme="minorEastAsia" w:cstheme="minorEastAsia"/>
                <w:color w:val="FF0000"/>
                <w:spacing w:val="2"/>
                <w:szCs w:val="21"/>
                <w:shd w:val="clear" w:color="auto" w:fill="FFFFFF"/>
              </w:rPr>
              <w:t>的相对示值误差</w:t>
            </w:r>
          </w:p>
        </w:tc>
        <w:tc>
          <w:tcPr>
            <w:tcW w:w="3011" w:type="dxa"/>
          </w:tcPr>
          <w:p w14:paraId="17A9F96E">
            <w:pPr>
              <w:spacing w:line="360" w:lineRule="auto"/>
              <w:jc w:val="center"/>
              <w:rPr>
                <w:rFonts w:hint="eastAsia" w:asciiTheme="minorEastAsia" w:hAnsiTheme="minorEastAsia" w:eastAsiaTheme="minorEastAsia" w:cstheme="minorEastAsia"/>
                <w:color w:val="FF0000"/>
                <w:spacing w:val="2"/>
                <w:szCs w:val="21"/>
                <w:shd w:val="clear" w:color="auto" w:fill="FFFFFF"/>
              </w:rPr>
            </w:pPr>
            <w:r>
              <w:rPr>
                <w:rFonts w:hint="eastAsia" w:asciiTheme="minorEastAsia" w:hAnsiTheme="minorEastAsia" w:eastAsiaTheme="minorEastAsia" w:cstheme="minorEastAsia"/>
                <w:color w:val="FF0000"/>
                <w:spacing w:val="2"/>
                <w:szCs w:val="21"/>
                <w:shd w:val="clear" w:color="auto" w:fill="FFFFFF"/>
              </w:rPr>
              <w:t>7.2.7</w:t>
            </w:r>
          </w:p>
        </w:tc>
      </w:tr>
      <w:tr w14:paraId="64750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0F43A5D">
            <w:pPr>
              <w:spacing w:line="360" w:lineRule="auto"/>
              <w:jc w:val="center"/>
              <w:rPr>
                <w:rFonts w:hint="eastAsia" w:asciiTheme="minorEastAsia" w:hAnsiTheme="minorEastAsia" w:eastAsiaTheme="minorEastAsia" w:cstheme="minorEastAsia"/>
                <w:spacing w:val="2"/>
                <w:szCs w:val="21"/>
                <w:shd w:val="clear" w:color="auto" w:fill="FFFFFF"/>
                <w:lang w:val="en-US" w:eastAsia="zh-CN"/>
              </w:rPr>
            </w:pPr>
            <w:r>
              <w:rPr>
                <w:rFonts w:hint="eastAsia" w:asciiTheme="minorEastAsia" w:hAnsiTheme="minorEastAsia" w:eastAsiaTheme="minorEastAsia" w:cstheme="minorEastAsia"/>
                <w:spacing w:val="2"/>
                <w:szCs w:val="21"/>
                <w:shd w:val="clear" w:color="auto" w:fill="FFFFFF"/>
                <w:lang w:val="en-US" w:eastAsia="zh-CN"/>
              </w:rPr>
              <w:t>8</w:t>
            </w:r>
          </w:p>
        </w:tc>
        <w:tc>
          <w:tcPr>
            <w:tcW w:w="5203" w:type="dxa"/>
          </w:tcPr>
          <w:p w14:paraId="5115AA6F">
            <w:pPr>
              <w:spacing w:line="360" w:lineRule="auto"/>
              <w:jc w:val="center"/>
              <w:rPr>
                <w:rFonts w:hint="eastAsia" w:asciiTheme="minorEastAsia" w:hAnsiTheme="minorEastAsia" w:eastAsiaTheme="minorEastAsia" w:cstheme="minorEastAsia"/>
                <w:color w:val="FF0000"/>
                <w:spacing w:val="2"/>
                <w:szCs w:val="21"/>
                <w:shd w:val="clear" w:color="auto" w:fill="FFFFFF"/>
              </w:rPr>
            </w:pPr>
            <w:r>
              <w:rPr>
                <w:rFonts w:hint="eastAsia" w:asciiTheme="minorEastAsia" w:hAnsiTheme="minorEastAsia" w:eastAsiaTheme="minorEastAsia" w:cstheme="minorEastAsia"/>
                <w:color w:val="FF0000"/>
                <w:spacing w:val="2"/>
                <w:szCs w:val="21"/>
                <w:shd w:val="clear" w:color="auto" w:fill="FFFFFF"/>
                <w:lang w:eastAsia="zh-CN"/>
              </w:rPr>
              <w:t>功率因数</w:t>
            </w:r>
            <w:r>
              <w:rPr>
                <w:rFonts w:hint="eastAsia" w:asciiTheme="minorEastAsia" w:hAnsiTheme="minorEastAsia" w:eastAsiaTheme="minorEastAsia" w:cstheme="minorEastAsia"/>
                <w:color w:val="FF0000"/>
                <w:spacing w:val="2"/>
                <w:szCs w:val="21"/>
                <w:shd w:val="clear" w:color="auto" w:fill="FFFFFF"/>
              </w:rPr>
              <w:t>的相对示值误差</w:t>
            </w:r>
          </w:p>
        </w:tc>
        <w:tc>
          <w:tcPr>
            <w:tcW w:w="3011" w:type="dxa"/>
          </w:tcPr>
          <w:p w14:paraId="4B7CA1CC">
            <w:pPr>
              <w:spacing w:line="360" w:lineRule="auto"/>
              <w:jc w:val="center"/>
              <w:rPr>
                <w:rFonts w:hint="default" w:asciiTheme="minorEastAsia" w:hAnsiTheme="minorEastAsia" w:eastAsiaTheme="minorEastAsia" w:cstheme="minorEastAsia"/>
                <w:color w:val="FF0000"/>
                <w:spacing w:val="2"/>
                <w:szCs w:val="21"/>
                <w:shd w:val="clear" w:color="auto" w:fill="FFFFFF"/>
                <w:lang w:val="en-US" w:eastAsia="zh-CN"/>
              </w:rPr>
            </w:pPr>
            <w:r>
              <w:rPr>
                <w:rFonts w:hint="eastAsia" w:asciiTheme="minorEastAsia" w:hAnsiTheme="minorEastAsia" w:eastAsiaTheme="minorEastAsia" w:cstheme="minorEastAsia"/>
                <w:color w:val="FF0000"/>
                <w:spacing w:val="2"/>
                <w:szCs w:val="21"/>
                <w:shd w:val="clear" w:color="auto" w:fill="FFFFFF"/>
                <w:lang w:val="en-US" w:eastAsia="zh-CN"/>
              </w:rPr>
              <w:t>7.2.8</w:t>
            </w:r>
          </w:p>
        </w:tc>
      </w:tr>
      <w:tr w14:paraId="1E9A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C74CF67">
            <w:pPr>
              <w:spacing w:line="360" w:lineRule="auto"/>
              <w:jc w:val="center"/>
              <w:rPr>
                <w:rFonts w:hint="eastAsia" w:asciiTheme="minorEastAsia" w:hAnsiTheme="minorEastAsia" w:eastAsiaTheme="minorEastAsia" w:cstheme="minorEastAsia"/>
                <w:spacing w:val="2"/>
                <w:szCs w:val="21"/>
                <w:shd w:val="clear" w:color="auto" w:fill="FFFFFF"/>
                <w:lang w:val="en-US" w:eastAsia="zh-CN"/>
              </w:rPr>
            </w:pPr>
            <w:r>
              <w:rPr>
                <w:rFonts w:hint="eastAsia" w:asciiTheme="minorEastAsia" w:hAnsiTheme="minorEastAsia" w:eastAsiaTheme="minorEastAsia" w:cstheme="minorEastAsia"/>
                <w:spacing w:val="2"/>
                <w:szCs w:val="21"/>
                <w:shd w:val="clear" w:color="auto" w:fill="FFFFFF"/>
                <w:lang w:val="en-US" w:eastAsia="zh-CN"/>
              </w:rPr>
              <w:t>9</w:t>
            </w:r>
          </w:p>
        </w:tc>
        <w:tc>
          <w:tcPr>
            <w:tcW w:w="5203" w:type="dxa"/>
          </w:tcPr>
          <w:p w14:paraId="5803EA23">
            <w:pPr>
              <w:spacing w:line="360" w:lineRule="auto"/>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电能的相对示值误差</w:t>
            </w:r>
          </w:p>
        </w:tc>
        <w:tc>
          <w:tcPr>
            <w:tcW w:w="3011" w:type="dxa"/>
          </w:tcPr>
          <w:p w14:paraId="22E1B0E8">
            <w:pPr>
              <w:spacing w:line="360" w:lineRule="auto"/>
              <w:jc w:val="center"/>
              <w:rPr>
                <w:rFonts w:hint="default" w:asciiTheme="minorEastAsia" w:hAnsiTheme="minorEastAsia" w:eastAsiaTheme="minorEastAsia" w:cstheme="minorEastAsia"/>
                <w:spacing w:val="2"/>
                <w:szCs w:val="21"/>
                <w:shd w:val="clear" w:color="auto" w:fill="FFFFFF"/>
                <w:lang w:val="en-US" w:eastAsia="zh-CN"/>
              </w:rPr>
            </w:pPr>
            <w:r>
              <w:rPr>
                <w:rFonts w:hint="eastAsia" w:asciiTheme="minorEastAsia" w:hAnsiTheme="minorEastAsia" w:eastAsiaTheme="minorEastAsia" w:cstheme="minorEastAsia"/>
                <w:color w:val="FF0000"/>
                <w:spacing w:val="2"/>
                <w:szCs w:val="21"/>
                <w:shd w:val="clear" w:color="auto" w:fill="FFFFFF"/>
                <w:lang w:val="en-US" w:eastAsia="zh-CN"/>
              </w:rPr>
              <w:t>7.2.9</w:t>
            </w:r>
          </w:p>
        </w:tc>
      </w:tr>
    </w:tbl>
    <w:p w14:paraId="6EB34BE2">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 校准方法</w:t>
      </w:r>
    </w:p>
    <w:p w14:paraId="4EF58000">
      <w:pPr>
        <w:spacing w:line="360" w:lineRule="auto"/>
        <w:ind w:firstLine="488" w:firstLineChars="200"/>
        <w:rPr>
          <w:rFonts w:hint="eastAsia"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rPr>
        <w:t>根据电测量仪表的实际使用情况或用户的要求协商确定校准点，一般选择 1～3个校准点，所选校准点应尽可能处于测量范围1/4～3/4之间；现场无法调节校准点时，可采用在不同时间段</w:t>
      </w:r>
      <w:r>
        <w:rPr>
          <w:rFonts w:hint="eastAsia" w:asciiTheme="minorEastAsia" w:hAnsiTheme="minorEastAsia" w:eastAsiaTheme="minorEastAsia" w:cstheme="minorEastAsia"/>
          <w:color w:val="FF0000"/>
          <w:spacing w:val="2"/>
          <w:sz w:val="24"/>
          <w:shd w:val="clear" w:color="auto" w:fill="FFFFFF"/>
          <w:lang w:eastAsia="zh-CN"/>
        </w:rPr>
        <w:t>或不同负载时</w:t>
      </w:r>
      <w:r>
        <w:rPr>
          <w:rFonts w:hint="eastAsia" w:asciiTheme="minorEastAsia" w:hAnsiTheme="minorEastAsia" w:eastAsiaTheme="minorEastAsia" w:cstheme="minorEastAsia"/>
          <w:color w:val="FF0000"/>
          <w:spacing w:val="2"/>
          <w:sz w:val="24"/>
          <w:shd w:val="clear" w:color="auto" w:fill="FFFFFF"/>
        </w:rPr>
        <w:t>校准的方法</w:t>
      </w:r>
      <w:r>
        <w:rPr>
          <w:rFonts w:hint="eastAsia" w:asciiTheme="minorEastAsia" w:hAnsiTheme="minorEastAsia" w:eastAsiaTheme="minorEastAsia" w:cstheme="minorEastAsia"/>
          <w:color w:val="FF0000"/>
          <w:spacing w:val="2"/>
          <w:sz w:val="24"/>
          <w:shd w:val="clear" w:color="auto" w:fill="FFFFFF"/>
          <w:lang w:eastAsia="zh-CN"/>
        </w:rPr>
        <w:t>，</w:t>
      </w:r>
      <w:r>
        <w:rPr>
          <w:rFonts w:hint="eastAsia" w:asciiTheme="minorEastAsia" w:hAnsiTheme="minorEastAsia" w:eastAsiaTheme="minorEastAsia" w:cstheme="minorEastAsia"/>
          <w:color w:val="FF0000"/>
          <w:spacing w:val="2"/>
          <w:sz w:val="24"/>
          <w:shd w:val="clear" w:color="auto" w:fill="FFFFFF"/>
        </w:rPr>
        <w:t>进行不同校准点的校准。</w:t>
      </w:r>
    </w:p>
    <w:p w14:paraId="0B95A884">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7.2.1直流电压的相对示值误差校准</w:t>
      </w:r>
    </w:p>
    <w:p w14:paraId="52F1C0E6">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直流电压的校准采用标准表法，按图2方法接好标准表，</w:t>
      </w:r>
      <w:r>
        <w:rPr>
          <w:rFonts w:hint="eastAsia" w:asciiTheme="minorEastAsia" w:hAnsiTheme="minorEastAsia" w:eastAsiaTheme="minorEastAsia" w:cstheme="minorEastAsia"/>
          <w:color w:val="FF0000"/>
          <w:spacing w:val="2"/>
          <w:sz w:val="24"/>
          <w:shd w:val="clear" w:color="auto" w:fill="FFFFFF"/>
          <w:lang w:eastAsia="zh-CN"/>
        </w:rPr>
        <w:t>选取合适的校准点。</w:t>
      </w:r>
    </w:p>
    <w:p w14:paraId="5BC8D64E">
      <w:pPr>
        <w:spacing w:line="360" w:lineRule="auto"/>
        <w:ind w:firstLine="420" w:firstLineChars="200"/>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zCs w:val="21"/>
        </w:rPr>
        <w:drawing>
          <wp:anchor distT="0" distB="0" distL="0" distR="0" simplePos="0" relativeHeight="251663360" behindDoc="0" locked="0" layoutInCell="1" allowOverlap="1">
            <wp:simplePos x="0" y="0"/>
            <wp:positionH relativeFrom="column">
              <wp:posOffset>246380</wp:posOffset>
            </wp:positionH>
            <wp:positionV relativeFrom="paragraph">
              <wp:posOffset>161290</wp:posOffset>
            </wp:positionV>
            <wp:extent cx="4700905" cy="1860550"/>
            <wp:effectExtent l="0" t="0" r="4445" b="6350"/>
            <wp:wrapTopAndBottom/>
            <wp:docPr id="27" name="图片 27" descr="C:\Users\ADMINI~1\AppData\Local\Temp\WeChat Files\10b61422fc02a96a3ed58e4a2038d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C:\Users\ADMINI~1\AppData\Local\Temp\WeChat Files\10b61422fc02a96a3ed58e4a2038dbe.png"/>
                    <pic:cNvPicPr>
                      <a:picLocks noChangeAspect="1" noChangeArrowheads="1"/>
                    </pic:cNvPicPr>
                  </pic:nvPicPr>
                  <pic:blipFill>
                    <a:blip r:embed="rId16"/>
                    <a:srcRect/>
                    <a:stretch>
                      <a:fillRect/>
                    </a:stretch>
                  </pic:blipFill>
                  <pic:spPr>
                    <a:xfrm>
                      <a:off x="0" y="0"/>
                      <a:ext cx="4705513" cy="1862414"/>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pacing w:val="2"/>
          <w:szCs w:val="21"/>
          <w:shd w:val="clear" w:color="auto" w:fill="FFFFFF"/>
        </w:rPr>
        <w:t>图2 标准表法接线图</w:t>
      </w:r>
    </w:p>
    <w:p w14:paraId="3B6534D9">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当被测直流电压数值稳定时，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spacing w:val="2"/>
          <w:sz w:val="24"/>
          <w:shd w:val="clear" w:color="auto" w:fill="FFFFFF"/>
        </w:rPr>
        <w:t>同时记录（2～6)组被校数字表和标准表的示值；</w:t>
      </w:r>
      <w:r>
        <w:rPr>
          <w:rFonts w:hint="eastAsia" w:asciiTheme="minorEastAsia" w:hAnsiTheme="minorEastAsia" w:eastAsiaTheme="minorEastAsia" w:cstheme="minorEastAsia"/>
          <w:color w:val="FF0000"/>
          <w:spacing w:val="2"/>
          <w:sz w:val="24"/>
          <w:shd w:val="clear" w:color="auto" w:fill="FFFFFF"/>
        </w:rPr>
        <w:t>如被测直流电压数值规律性变化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w:t>
      </w:r>
      <w:r>
        <w:rPr>
          <w:rFonts w:hint="eastAsia" w:asciiTheme="minorEastAsia" w:hAnsiTheme="minorEastAsia" w:eastAsiaTheme="minorEastAsia" w:cstheme="minorEastAsia"/>
          <w:spacing w:val="2"/>
          <w:sz w:val="24"/>
          <w:shd w:val="clear" w:color="auto" w:fill="FFFFFF"/>
        </w:rPr>
        <w:t xml:space="preserve">可在一定时段内，按固定间隔时间， </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spacing w:val="2"/>
          <w:sz w:val="24"/>
          <w:shd w:val="clear" w:color="auto" w:fill="FFFFFF"/>
        </w:rPr>
        <w:t>同时记录（10～20)组被校数字表和标准表的示值。</w:t>
      </w:r>
    </w:p>
    <w:p w14:paraId="22C03F10">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以上数据经排除异常值后，按式（1)计算其相对示值误差。</w:t>
      </w:r>
    </w:p>
    <w:p w14:paraId="5B9374F2">
      <w:pPr>
        <w:pStyle w:val="4"/>
        <w:spacing w:before="156" w:beforeLines="50" w:line="360" w:lineRule="auto"/>
        <w:ind w:right="25" w:rightChars="12" w:firstLine="1920" w:firstLineChars="8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position w:val="-32"/>
          <w:sz w:val="24"/>
          <w:szCs w:val="24"/>
        </w:rPr>
        <w:object>
          <v:shape id="_x0000_i1025" o:spt="75" type="#_x0000_t75" style="height:34.95pt;width:92.8pt;" o:ole="t" filled="f" o:preferrelative="t" stroked="f" coordsize="21600,21600">
            <v:path/>
            <v:fill on="f" focussize="0,0"/>
            <v:stroke on="f" joinstyle="miter"/>
            <v:imagedata r:id="rId18" o:title=""/>
            <o:lock v:ext="edit" aspectratio="t"/>
            <w10:wrap type="none"/>
            <w10:anchorlock/>
          </v:shape>
          <o:OLEObject Type="Embed" ProgID="Equation.KSEE3" ShapeID="_x0000_i1025" DrawAspect="Content" ObjectID="_1468075725" r:id="rId17">
            <o:LockedField>false</o:LockedField>
          </o:OLEObject>
        </w:object>
      </w:r>
      <w:r>
        <w:rPr>
          <w:rFonts w:hint="eastAsia" w:asciiTheme="minorEastAsia" w:hAnsiTheme="minorEastAsia" w:eastAsiaTheme="minorEastAsia" w:cstheme="minorEastAsia"/>
          <w:sz w:val="24"/>
          <w:szCs w:val="24"/>
        </w:rPr>
        <w:t xml:space="preserve">                                （1）</w:t>
      </w:r>
    </w:p>
    <w:p w14:paraId="59D6F6BD">
      <w:pPr>
        <w:pStyle w:val="4"/>
        <w:spacing w:before="156" w:beforeLines="50" w:line="360" w:lineRule="auto"/>
        <w:ind w:right="25" w:rightChars="1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式中：</w:t>
      </w:r>
    </w:p>
    <w:p w14:paraId="3F42C758">
      <w:pPr>
        <w:pStyle w:val="4"/>
        <w:spacing w:before="156" w:beforeLines="50" w:line="360" w:lineRule="auto"/>
        <w:ind w:right="25" w:rightChars="12"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position w:val="-4"/>
          <w:sz w:val="24"/>
          <w:szCs w:val="24"/>
        </w:rPr>
        <w:object>
          <v:shape id="_x0000_i1026" o:spt="75" type="#_x0000_t75" style="height:12.9pt;width:10.8pt;" o:ole="t" filled="f" o:preferrelative="t" stroked="f" coordsize="21600,21600">
            <v:path/>
            <v:fill on="f" focussize="0,0"/>
            <v:stroke on="f" joinstyle="miter"/>
            <v:imagedata r:id="rId20" o:title=""/>
            <o:lock v:ext="edit" aspectratio="t"/>
            <w10:wrap type="none"/>
            <w10:anchorlock/>
          </v:shape>
          <o:OLEObject Type="Embed" ProgID="Equation.KSEE3" ShapeID="_x0000_i1026" DrawAspect="Content" ObjectID="_1468075726" r:id="rId19">
            <o:LockedField>false</o:LockedField>
          </o:OLEObject>
        </w:object>
      </w:r>
      <w:r>
        <w:rPr>
          <w:rFonts w:hint="eastAsia" w:asciiTheme="minorEastAsia" w:hAnsiTheme="minorEastAsia" w:eastAsiaTheme="minorEastAsia" w:cstheme="minorEastAsia"/>
          <w:sz w:val="24"/>
          <w:szCs w:val="24"/>
        </w:rPr>
        <w:t>——被校参量的相对示值误差，%；</w:t>
      </w:r>
    </w:p>
    <w:p w14:paraId="37FAEE3D">
      <w:pPr>
        <w:pStyle w:val="4"/>
        <w:spacing w:before="156" w:beforeLines="50" w:line="360" w:lineRule="auto"/>
        <w:ind w:right="25" w:rightChars="12"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position w:val="-4"/>
          <w:sz w:val="24"/>
          <w:szCs w:val="24"/>
        </w:rPr>
        <w:object>
          <v:shape id="_x0000_i1027" o:spt="75" type="#_x0000_t75" style="height:15.8pt;width:14.15pt;" o:ole="t" filled="f" o:preferrelative="t" stroked="f" coordsize="21600,21600">
            <v:path/>
            <v:fill on="f" focussize="0,0"/>
            <v:stroke on="f" joinstyle="miter"/>
            <v:imagedata r:id="rId22" o:title=""/>
            <o:lock v:ext="edit" aspectratio="t"/>
            <w10:wrap type="none"/>
            <w10:anchorlock/>
          </v:shape>
          <o:OLEObject Type="Embed" ProgID="Equation.KSEE3" ShapeID="_x0000_i1027" DrawAspect="Content" ObjectID="_1468075727" r:id="rId21">
            <o:LockedField>false</o:LockedField>
          </o:OLEObject>
        </w:object>
      </w:r>
      <w:r>
        <w:rPr>
          <w:rFonts w:hint="eastAsia" w:asciiTheme="minorEastAsia" w:hAnsiTheme="minorEastAsia" w:eastAsiaTheme="minorEastAsia" w:cstheme="minorEastAsia"/>
          <w:sz w:val="24"/>
          <w:szCs w:val="24"/>
        </w:rPr>
        <w:t>——被校参量的测量平均值；</w:t>
      </w:r>
    </w:p>
    <w:p w14:paraId="5DD44174">
      <w:pPr>
        <w:pStyle w:val="4"/>
        <w:spacing w:before="156" w:beforeLines="50" w:line="360" w:lineRule="auto"/>
        <w:ind w:right="25" w:rightChars="12"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position w:val="-12"/>
          <w:sz w:val="24"/>
          <w:szCs w:val="24"/>
        </w:rPr>
        <w:object>
          <v:shape id="_x0000_i1028" o:spt="75" type="#_x0000_t75" style="height:20pt;width:17.05pt;" o:ole="t" filled="f" o:preferrelative="t" stroked="f" coordsize="21600,21600">
            <v:path/>
            <v:fill on="f" focussize="0,0"/>
            <v:stroke on="f" joinstyle="miter"/>
            <v:imagedata r:id="rId24" o:title=""/>
            <o:lock v:ext="edit" aspectratio="t"/>
            <w10:wrap type="none"/>
            <w10:anchorlock/>
          </v:shape>
          <o:OLEObject Type="Embed" ProgID="Equation.KSEE3" ShapeID="_x0000_i1028" DrawAspect="Content" ObjectID="_1468075728" r:id="rId23">
            <o:LockedField>false</o:LockedField>
          </o:OLEObject>
        </w:object>
      </w:r>
      <w:r>
        <w:rPr>
          <w:rFonts w:hint="eastAsia" w:asciiTheme="minorEastAsia" w:hAnsiTheme="minorEastAsia" w:eastAsiaTheme="minorEastAsia" w:cstheme="minorEastAsia"/>
          <w:sz w:val="24"/>
          <w:szCs w:val="24"/>
        </w:rPr>
        <w:t>——被校参量的标准器的平均值；</w:t>
      </w:r>
    </w:p>
    <w:p w14:paraId="19DD8CDA">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7.2.2直流电流的相对示值误差校准</w:t>
      </w:r>
    </w:p>
    <w:p w14:paraId="15D8A623">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7.2.2.1接电流转换器输出信号显示的电测量仪表，其输入信号为直流电压信号，校准方法见7.2.1。</w:t>
      </w:r>
    </w:p>
    <w:p w14:paraId="6138B321">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7.2.2.2</w:t>
      </w:r>
      <w:r>
        <w:rPr>
          <w:rFonts w:hint="eastAsia" w:asciiTheme="minorEastAsia" w:hAnsiTheme="minorEastAsia" w:eastAsiaTheme="minorEastAsia" w:cstheme="minorEastAsia"/>
          <w:color w:val="FF0000"/>
          <w:spacing w:val="2"/>
          <w:sz w:val="24"/>
          <w:shd w:val="clear" w:color="auto" w:fill="FFFFFF"/>
        </w:rPr>
        <w:t>直接接入直流电流的电测量仪表，采用标准钳形电流表进行校准，按图3方法接好标准表，</w:t>
      </w:r>
      <w:r>
        <w:rPr>
          <w:rFonts w:hint="eastAsia" w:asciiTheme="minorEastAsia" w:hAnsiTheme="minorEastAsia" w:eastAsiaTheme="minorEastAsia" w:cstheme="minorEastAsia"/>
          <w:color w:val="FF0000"/>
          <w:spacing w:val="2"/>
          <w:sz w:val="24"/>
          <w:shd w:val="clear" w:color="auto" w:fill="FFFFFF"/>
          <w:lang w:eastAsia="zh-CN"/>
        </w:rPr>
        <w:t>选取合适的校准点。</w:t>
      </w:r>
      <w:r>
        <w:rPr>
          <w:rFonts w:hint="eastAsia" w:asciiTheme="minorEastAsia" w:hAnsiTheme="minorEastAsia" w:eastAsiaTheme="minorEastAsia" w:cstheme="minorEastAsia"/>
          <w:color w:val="FF0000"/>
          <w:spacing w:val="2"/>
          <w:sz w:val="24"/>
          <w:shd w:val="clear" w:color="auto" w:fill="FFFFFF"/>
        </w:rPr>
        <w:t>当被测直流电</w:t>
      </w:r>
      <w:r>
        <w:rPr>
          <w:rFonts w:hint="eastAsia" w:asciiTheme="minorEastAsia" w:hAnsiTheme="minorEastAsia" w:eastAsiaTheme="minorEastAsia" w:cstheme="minorEastAsia"/>
          <w:color w:val="FF0000"/>
          <w:spacing w:val="2"/>
          <w:sz w:val="24"/>
          <w:shd w:val="clear" w:color="auto" w:fill="FFFFFF"/>
          <w:lang w:eastAsia="zh-CN"/>
        </w:rPr>
        <w:t>流</w:t>
      </w:r>
      <w:r>
        <w:rPr>
          <w:rFonts w:hint="eastAsia" w:asciiTheme="minorEastAsia" w:hAnsiTheme="minorEastAsia" w:eastAsiaTheme="minorEastAsia" w:cstheme="minorEastAsia"/>
          <w:color w:val="FF0000"/>
          <w:spacing w:val="2"/>
          <w:sz w:val="24"/>
          <w:shd w:val="clear" w:color="auto" w:fill="FFFFFF"/>
        </w:rPr>
        <w:t>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同时记录（2～6)组被校数字表和标准表的示值；如被测直流电</w:t>
      </w:r>
      <w:r>
        <w:rPr>
          <w:rFonts w:hint="eastAsia" w:asciiTheme="minorEastAsia" w:hAnsiTheme="minorEastAsia" w:eastAsiaTheme="minorEastAsia" w:cstheme="minorEastAsia"/>
          <w:color w:val="FF0000"/>
          <w:spacing w:val="2"/>
          <w:sz w:val="24"/>
          <w:shd w:val="clear" w:color="auto" w:fill="FFFFFF"/>
          <w:lang w:eastAsia="zh-CN"/>
        </w:rPr>
        <w:t>流</w:t>
      </w:r>
      <w:r>
        <w:rPr>
          <w:rFonts w:hint="eastAsia" w:asciiTheme="minorEastAsia" w:hAnsiTheme="minorEastAsia" w:eastAsiaTheme="minorEastAsia" w:cstheme="minorEastAsia"/>
          <w:color w:val="FF0000"/>
          <w:spacing w:val="2"/>
          <w:sz w:val="24"/>
          <w:shd w:val="clear" w:color="auto" w:fill="FFFFFF"/>
        </w:rPr>
        <w:t>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 xml:space="preserve">，可在一定时段内，按固定间隔时间， </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同时记录（10～20)组被校数字表和标准表的示值，排除异常值后，按式（1)计算其相对示值误差。</w:t>
      </w:r>
    </w:p>
    <w:p w14:paraId="00016181">
      <w:pPr>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drawing>
          <wp:inline distT="0" distB="0" distL="114300" distR="114300">
            <wp:extent cx="3803015" cy="1223645"/>
            <wp:effectExtent l="0" t="0" r="6985" b="14605"/>
            <wp:docPr id="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4"/>
                    <pic:cNvPicPr>
                      <a:picLocks noChangeAspect="1"/>
                    </pic:cNvPicPr>
                  </pic:nvPicPr>
                  <pic:blipFill>
                    <a:blip r:embed="rId25"/>
                    <a:stretch>
                      <a:fillRect/>
                    </a:stretch>
                  </pic:blipFill>
                  <pic:spPr>
                    <a:xfrm>
                      <a:off x="0" y="0"/>
                      <a:ext cx="3803015" cy="1223645"/>
                    </a:xfrm>
                    <a:prstGeom prst="rect">
                      <a:avLst/>
                    </a:prstGeom>
                    <a:noFill/>
                    <a:ln>
                      <a:noFill/>
                    </a:ln>
                  </pic:spPr>
                </pic:pic>
              </a:graphicData>
            </a:graphic>
          </wp:inline>
        </w:drawing>
      </w:r>
    </w:p>
    <w:p w14:paraId="608756B0">
      <w:pPr>
        <w:spacing w:line="360" w:lineRule="auto"/>
        <w:jc w:val="center"/>
        <w:rPr>
          <w:rFonts w:asciiTheme="minorEastAsia" w:hAnsiTheme="minorEastAsia" w:eastAsiaTheme="minorEastAsia" w:cstheme="minorEastAsia"/>
          <w:sz w:val="24"/>
        </w:rPr>
      </w:pPr>
    </w:p>
    <w:p w14:paraId="15637233">
      <w:pPr>
        <w:spacing w:line="360" w:lineRule="auto"/>
        <w:ind w:firstLine="428" w:firstLineChars="200"/>
        <w:jc w:val="center"/>
        <w:rPr>
          <w:rFonts w:asciiTheme="minorEastAsia" w:hAnsiTheme="minorEastAsia" w:eastAsiaTheme="minorEastAsia" w:cstheme="minorEastAsia"/>
          <w:spacing w:val="2"/>
          <w:szCs w:val="21"/>
          <w:shd w:val="clear" w:color="auto" w:fill="FFFFFF"/>
        </w:rPr>
      </w:pPr>
      <w:r>
        <w:rPr>
          <w:rFonts w:hint="eastAsia" w:asciiTheme="minorEastAsia" w:hAnsiTheme="minorEastAsia" w:eastAsiaTheme="minorEastAsia" w:cstheme="minorEastAsia"/>
          <w:spacing w:val="2"/>
          <w:szCs w:val="21"/>
          <w:shd w:val="clear" w:color="auto" w:fill="FFFFFF"/>
        </w:rPr>
        <w:t>图3钳形电流表法接线图</w:t>
      </w:r>
    </w:p>
    <w:p w14:paraId="55EB6AC3">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7.2.3交流电压的相对示值误差校准</w:t>
      </w:r>
    </w:p>
    <w:p w14:paraId="63E6EABF">
      <w:pPr>
        <w:spacing w:line="360" w:lineRule="auto"/>
        <w:ind w:firstLine="488" w:firstLineChars="200"/>
        <w:rPr>
          <w:rFonts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rPr>
        <w:t>交流电压的校准采用标准表法，按图2方法接好标准表，</w:t>
      </w:r>
      <w:r>
        <w:rPr>
          <w:rFonts w:hint="eastAsia" w:asciiTheme="minorEastAsia" w:hAnsiTheme="minorEastAsia" w:eastAsiaTheme="minorEastAsia" w:cstheme="minorEastAsia"/>
          <w:color w:val="FF0000"/>
          <w:spacing w:val="2"/>
          <w:sz w:val="24"/>
          <w:shd w:val="clear" w:color="auto" w:fill="FFFFFF"/>
          <w:lang w:eastAsia="zh-CN"/>
        </w:rPr>
        <w:t>选取合适的校准点。</w:t>
      </w:r>
      <w:r>
        <w:rPr>
          <w:rFonts w:hint="eastAsia" w:asciiTheme="minorEastAsia" w:hAnsiTheme="minorEastAsia" w:eastAsiaTheme="minorEastAsia" w:cstheme="minorEastAsia"/>
          <w:color w:val="FF0000"/>
          <w:spacing w:val="2"/>
          <w:sz w:val="24"/>
          <w:shd w:val="clear" w:color="auto" w:fill="FFFFFF"/>
        </w:rPr>
        <w:t>当被测直流电压数值稳定时，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同时记录（2～6)组被校数字表和标准表的示值；如被测直流电压数值规律性变化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，可在一定时段内，按固定间隔时间，</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同时记录（10～20)组被校数字表和标准表的示值。</w:t>
      </w:r>
    </w:p>
    <w:p w14:paraId="2480A1BB">
      <w:pPr>
        <w:spacing w:line="360" w:lineRule="auto"/>
        <w:ind w:firstLine="488" w:firstLineChars="200"/>
        <w:rPr>
          <w:rFonts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rPr>
        <w:t>以上数据经排除异常值后，按式（1)计算其相对示值误差。</w:t>
      </w:r>
    </w:p>
    <w:p w14:paraId="6BA5F9B0">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7.2.4交流电流的相对示值误差校准</w:t>
      </w:r>
    </w:p>
    <w:p w14:paraId="3BE69BD2">
      <w:pPr>
        <w:spacing w:line="360" w:lineRule="auto"/>
        <w:ind w:firstLine="488" w:firstLineChars="200"/>
        <w:rPr>
          <w:rFonts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lang w:eastAsia="zh-CN"/>
        </w:rPr>
        <w:t>测量交</w:t>
      </w:r>
      <w:r>
        <w:rPr>
          <w:rFonts w:hint="eastAsia" w:asciiTheme="minorEastAsia" w:hAnsiTheme="minorEastAsia" w:eastAsiaTheme="minorEastAsia" w:cstheme="minorEastAsia"/>
          <w:color w:val="FF0000"/>
          <w:spacing w:val="2"/>
          <w:sz w:val="24"/>
          <w:shd w:val="clear" w:color="auto" w:fill="FFFFFF"/>
        </w:rPr>
        <w:t>流电流的电测量仪表，采用标准钳形电流表进行校准，按图3方法接好标准表，</w:t>
      </w:r>
      <w:r>
        <w:rPr>
          <w:rFonts w:hint="eastAsia" w:asciiTheme="minorEastAsia" w:hAnsiTheme="minorEastAsia" w:eastAsiaTheme="minorEastAsia" w:cstheme="minorEastAsia"/>
          <w:color w:val="FF0000"/>
          <w:spacing w:val="2"/>
          <w:sz w:val="24"/>
          <w:shd w:val="clear" w:color="auto" w:fill="FFFFFF"/>
          <w:lang w:eastAsia="zh-CN"/>
        </w:rPr>
        <w:t>选取合适的校准点。</w:t>
      </w:r>
      <w:r>
        <w:rPr>
          <w:rFonts w:hint="eastAsia" w:asciiTheme="minorEastAsia" w:hAnsiTheme="minorEastAsia" w:eastAsiaTheme="minorEastAsia" w:cstheme="minorEastAsia"/>
          <w:color w:val="FF0000"/>
          <w:spacing w:val="2"/>
          <w:sz w:val="24"/>
          <w:shd w:val="clear" w:color="auto" w:fill="FFFFFF"/>
        </w:rPr>
        <w:t>当被测</w:t>
      </w:r>
      <w:r>
        <w:rPr>
          <w:rFonts w:hint="eastAsia" w:asciiTheme="minorEastAsia" w:hAnsiTheme="minorEastAsia" w:eastAsiaTheme="minorEastAsia" w:cstheme="minorEastAsia"/>
          <w:color w:val="FF0000"/>
          <w:spacing w:val="2"/>
          <w:sz w:val="24"/>
          <w:shd w:val="clear" w:color="auto" w:fill="FFFFFF"/>
          <w:lang w:eastAsia="zh-CN"/>
        </w:rPr>
        <w:t>交</w:t>
      </w:r>
      <w:r>
        <w:rPr>
          <w:rFonts w:hint="eastAsia" w:asciiTheme="minorEastAsia" w:hAnsiTheme="minorEastAsia" w:eastAsiaTheme="minorEastAsia" w:cstheme="minorEastAsia"/>
          <w:color w:val="FF0000"/>
          <w:spacing w:val="2"/>
          <w:sz w:val="24"/>
          <w:shd w:val="clear" w:color="auto" w:fill="FFFFFF"/>
        </w:rPr>
        <w:t>流电</w:t>
      </w:r>
      <w:r>
        <w:rPr>
          <w:rFonts w:hint="eastAsia" w:asciiTheme="minorEastAsia" w:hAnsiTheme="minorEastAsia" w:eastAsiaTheme="minorEastAsia" w:cstheme="minorEastAsia"/>
          <w:color w:val="FF0000"/>
          <w:spacing w:val="2"/>
          <w:sz w:val="24"/>
          <w:shd w:val="clear" w:color="auto" w:fill="FFFFFF"/>
          <w:lang w:eastAsia="zh-CN"/>
        </w:rPr>
        <w:t>流</w:t>
      </w:r>
      <w:r>
        <w:rPr>
          <w:rFonts w:hint="eastAsia" w:asciiTheme="minorEastAsia" w:hAnsiTheme="minorEastAsia" w:eastAsiaTheme="minorEastAsia" w:cstheme="minorEastAsia"/>
          <w:color w:val="FF0000"/>
          <w:spacing w:val="2"/>
          <w:sz w:val="24"/>
          <w:shd w:val="clear" w:color="auto" w:fill="FFFFFF"/>
        </w:rPr>
        <w:t>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同时记录（2～6)组被校数字表和标准表的示值；如被测</w:t>
      </w:r>
      <w:r>
        <w:rPr>
          <w:rFonts w:hint="eastAsia" w:asciiTheme="minorEastAsia" w:hAnsiTheme="minorEastAsia" w:eastAsiaTheme="minorEastAsia" w:cstheme="minorEastAsia"/>
          <w:color w:val="FF0000"/>
          <w:spacing w:val="2"/>
          <w:sz w:val="24"/>
          <w:shd w:val="clear" w:color="auto" w:fill="FFFFFF"/>
          <w:lang w:eastAsia="zh-CN"/>
        </w:rPr>
        <w:t>交</w:t>
      </w:r>
      <w:r>
        <w:rPr>
          <w:rFonts w:hint="eastAsia" w:asciiTheme="minorEastAsia" w:hAnsiTheme="minorEastAsia" w:eastAsiaTheme="minorEastAsia" w:cstheme="minorEastAsia"/>
          <w:color w:val="FF0000"/>
          <w:spacing w:val="2"/>
          <w:sz w:val="24"/>
          <w:shd w:val="clear" w:color="auto" w:fill="FFFFFF"/>
        </w:rPr>
        <w:t>流电</w:t>
      </w:r>
      <w:r>
        <w:rPr>
          <w:rFonts w:hint="eastAsia" w:asciiTheme="minorEastAsia" w:hAnsiTheme="minorEastAsia" w:eastAsiaTheme="minorEastAsia" w:cstheme="minorEastAsia"/>
          <w:color w:val="FF0000"/>
          <w:spacing w:val="2"/>
          <w:sz w:val="24"/>
          <w:shd w:val="clear" w:color="auto" w:fill="FFFFFF"/>
          <w:lang w:eastAsia="zh-CN"/>
        </w:rPr>
        <w:t>流</w:t>
      </w:r>
      <w:r>
        <w:rPr>
          <w:rFonts w:hint="eastAsia" w:asciiTheme="minorEastAsia" w:hAnsiTheme="minorEastAsia" w:eastAsiaTheme="minorEastAsia" w:cstheme="minorEastAsia"/>
          <w:color w:val="FF0000"/>
          <w:spacing w:val="2"/>
          <w:sz w:val="24"/>
          <w:shd w:val="clear" w:color="auto" w:fill="FFFFFF"/>
        </w:rPr>
        <w:t>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 xml:space="preserve">，可在一定时段内，按固定间隔时间， </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同时记录（10～20)组被校数字表和标准表的示值，排除异常值后，按式（1)计算其相对示值误差。</w:t>
      </w:r>
    </w:p>
    <w:p w14:paraId="7442116D">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7.2.5交流功率的相对示值误差校准</w:t>
      </w:r>
    </w:p>
    <w:p w14:paraId="0B503DAB">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交流功率可使用电能表现场校验仪进行校准，按图4方法接好电能表现场校验仪，</w:t>
      </w:r>
      <w:r>
        <w:rPr>
          <w:rFonts w:hint="eastAsia" w:asciiTheme="minorEastAsia" w:hAnsiTheme="minorEastAsia" w:eastAsiaTheme="minorEastAsia" w:cstheme="minorEastAsia"/>
          <w:color w:val="FF0000"/>
          <w:spacing w:val="2"/>
          <w:sz w:val="24"/>
          <w:shd w:val="clear" w:color="auto" w:fill="FFFFFF"/>
          <w:lang w:eastAsia="zh-CN"/>
        </w:rPr>
        <w:t>选取合适的校准点。</w:t>
      </w:r>
      <w:r>
        <w:rPr>
          <w:rFonts w:hint="eastAsia" w:asciiTheme="minorEastAsia" w:hAnsiTheme="minorEastAsia" w:eastAsiaTheme="minorEastAsia" w:cstheme="minorEastAsia"/>
          <w:color w:val="FF0000"/>
          <w:spacing w:val="2"/>
          <w:sz w:val="24"/>
          <w:shd w:val="clear" w:color="auto" w:fill="FFFFFF"/>
        </w:rPr>
        <w:t>当被测</w:t>
      </w:r>
      <w:r>
        <w:rPr>
          <w:rFonts w:hint="eastAsia" w:asciiTheme="minorEastAsia" w:hAnsiTheme="minorEastAsia" w:eastAsiaTheme="minorEastAsia" w:cstheme="minorEastAsia"/>
          <w:color w:val="FF0000"/>
          <w:spacing w:val="2"/>
          <w:sz w:val="24"/>
          <w:shd w:val="clear" w:color="auto" w:fill="FFFFFF"/>
          <w:lang w:eastAsia="zh-CN"/>
        </w:rPr>
        <w:t>交</w:t>
      </w:r>
      <w:r>
        <w:rPr>
          <w:rFonts w:hint="eastAsia" w:asciiTheme="minorEastAsia" w:hAnsiTheme="minorEastAsia" w:eastAsiaTheme="minorEastAsia" w:cstheme="minorEastAsia"/>
          <w:color w:val="FF0000"/>
          <w:spacing w:val="2"/>
          <w:sz w:val="24"/>
          <w:shd w:val="clear" w:color="auto" w:fill="FFFFFF"/>
        </w:rPr>
        <w:t>流</w:t>
      </w:r>
      <w:r>
        <w:rPr>
          <w:rFonts w:hint="eastAsia" w:asciiTheme="minorEastAsia" w:hAnsiTheme="minorEastAsia" w:eastAsiaTheme="minorEastAsia" w:cstheme="minorEastAsia"/>
          <w:color w:val="FF0000"/>
          <w:spacing w:val="2"/>
          <w:sz w:val="24"/>
          <w:shd w:val="clear" w:color="auto" w:fill="FFFFFF"/>
          <w:lang w:eastAsia="zh-CN"/>
        </w:rPr>
        <w:t>功率</w:t>
      </w:r>
      <w:r>
        <w:rPr>
          <w:rFonts w:hint="eastAsia" w:asciiTheme="minorEastAsia" w:hAnsiTheme="minorEastAsia" w:eastAsiaTheme="minorEastAsia" w:cstheme="minorEastAsia"/>
          <w:color w:val="FF0000"/>
          <w:spacing w:val="2"/>
          <w:sz w:val="24"/>
          <w:shd w:val="clear" w:color="auto" w:fill="FFFFFF"/>
        </w:rPr>
        <w:t>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同时记录（2～6)组被校数字表和标准表的示值；如被测</w:t>
      </w:r>
      <w:r>
        <w:rPr>
          <w:rFonts w:hint="eastAsia" w:asciiTheme="minorEastAsia" w:hAnsiTheme="minorEastAsia" w:eastAsiaTheme="minorEastAsia" w:cstheme="minorEastAsia"/>
          <w:color w:val="FF0000"/>
          <w:spacing w:val="2"/>
          <w:sz w:val="24"/>
          <w:shd w:val="clear" w:color="auto" w:fill="FFFFFF"/>
          <w:lang w:eastAsia="zh-CN"/>
        </w:rPr>
        <w:t>交</w:t>
      </w:r>
      <w:r>
        <w:rPr>
          <w:rFonts w:hint="eastAsia" w:asciiTheme="minorEastAsia" w:hAnsiTheme="minorEastAsia" w:eastAsiaTheme="minorEastAsia" w:cstheme="minorEastAsia"/>
          <w:color w:val="FF0000"/>
          <w:spacing w:val="2"/>
          <w:sz w:val="24"/>
          <w:shd w:val="clear" w:color="auto" w:fill="FFFFFF"/>
        </w:rPr>
        <w:t>流</w:t>
      </w:r>
      <w:r>
        <w:rPr>
          <w:rFonts w:hint="eastAsia" w:asciiTheme="minorEastAsia" w:hAnsiTheme="minorEastAsia" w:eastAsiaTheme="minorEastAsia" w:cstheme="minorEastAsia"/>
          <w:color w:val="FF0000"/>
          <w:spacing w:val="2"/>
          <w:sz w:val="24"/>
          <w:shd w:val="clear" w:color="auto" w:fill="FFFFFF"/>
          <w:lang w:eastAsia="zh-CN"/>
        </w:rPr>
        <w:t>功率</w:t>
      </w:r>
      <w:r>
        <w:rPr>
          <w:rFonts w:hint="eastAsia" w:asciiTheme="minorEastAsia" w:hAnsiTheme="minorEastAsia" w:eastAsiaTheme="minorEastAsia" w:cstheme="minorEastAsia"/>
          <w:color w:val="FF0000"/>
          <w:spacing w:val="2"/>
          <w:sz w:val="24"/>
          <w:shd w:val="clear" w:color="auto" w:fill="FFFFFF"/>
        </w:rPr>
        <w:t>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 xml:space="preserve">，可在一定时段内，按固定间隔时间， </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同时记录（10～20)组被校数字表和标准表的示值，排除异常值后，按式（1)计算其相对示值误差。</w:t>
      </w:r>
    </w:p>
    <w:p w14:paraId="30533F94">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7.2.6频率的相对示值误差校准</w:t>
      </w:r>
    </w:p>
    <w:p w14:paraId="37D5AD21">
      <w:pPr>
        <w:spacing w:line="360" w:lineRule="auto"/>
        <w:ind w:firstLine="488" w:firstLineChars="200"/>
        <w:rPr>
          <w:rFonts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lang w:eastAsia="zh-CN"/>
        </w:rPr>
        <w:t>频率</w:t>
      </w:r>
      <w:r>
        <w:rPr>
          <w:rFonts w:hint="eastAsia" w:asciiTheme="minorEastAsia" w:hAnsiTheme="minorEastAsia" w:eastAsiaTheme="minorEastAsia" w:cstheme="minorEastAsia"/>
          <w:color w:val="FF0000"/>
          <w:spacing w:val="2"/>
          <w:sz w:val="24"/>
          <w:shd w:val="clear" w:color="auto" w:fill="FFFFFF"/>
        </w:rPr>
        <w:t>的校准采用标准表法，按图2方法接好标准表，</w:t>
      </w:r>
      <w:r>
        <w:rPr>
          <w:rFonts w:hint="eastAsia" w:asciiTheme="minorEastAsia" w:hAnsiTheme="minorEastAsia" w:eastAsiaTheme="minorEastAsia" w:cstheme="minorEastAsia"/>
          <w:color w:val="FF0000"/>
          <w:spacing w:val="2"/>
          <w:sz w:val="24"/>
          <w:shd w:val="clear" w:color="auto" w:fill="FFFFFF"/>
          <w:lang w:eastAsia="zh-CN"/>
        </w:rPr>
        <w:t>选取合适的校准点。</w:t>
      </w:r>
      <w:r>
        <w:rPr>
          <w:rFonts w:hint="eastAsia" w:asciiTheme="minorEastAsia" w:hAnsiTheme="minorEastAsia" w:eastAsiaTheme="minorEastAsia" w:cstheme="minorEastAsia"/>
          <w:color w:val="FF0000"/>
          <w:spacing w:val="2"/>
          <w:sz w:val="24"/>
          <w:shd w:val="clear" w:color="auto" w:fill="FFFFFF"/>
        </w:rPr>
        <w:t>当被测</w:t>
      </w:r>
      <w:r>
        <w:rPr>
          <w:rFonts w:hint="eastAsia" w:asciiTheme="minorEastAsia" w:hAnsiTheme="minorEastAsia" w:eastAsiaTheme="minorEastAsia" w:cstheme="minorEastAsia"/>
          <w:color w:val="FF0000"/>
          <w:spacing w:val="2"/>
          <w:sz w:val="24"/>
          <w:shd w:val="clear" w:color="auto" w:fill="FFFFFF"/>
          <w:lang w:eastAsia="zh-CN"/>
        </w:rPr>
        <w:t>频率</w:t>
      </w:r>
      <w:r>
        <w:rPr>
          <w:rFonts w:hint="eastAsia" w:asciiTheme="minorEastAsia" w:hAnsiTheme="minorEastAsia" w:eastAsiaTheme="minorEastAsia" w:cstheme="minorEastAsia"/>
          <w:color w:val="FF0000"/>
          <w:spacing w:val="2"/>
          <w:sz w:val="24"/>
          <w:shd w:val="clear" w:color="auto" w:fill="FFFFFF"/>
        </w:rPr>
        <w:t>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同时记录（2～6)组被校数字表和标准表的示值；如被测</w:t>
      </w:r>
      <w:r>
        <w:rPr>
          <w:rFonts w:hint="eastAsia" w:asciiTheme="minorEastAsia" w:hAnsiTheme="minorEastAsia" w:eastAsiaTheme="minorEastAsia" w:cstheme="minorEastAsia"/>
          <w:color w:val="FF0000"/>
          <w:spacing w:val="2"/>
          <w:sz w:val="24"/>
          <w:shd w:val="clear" w:color="auto" w:fill="FFFFFF"/>
          <w:lang w:eastAsia="zh-CN"/>
        </w:rPr>
        <w:t>频率</w:t>
      </w:r>
      <w:r>
        <w:rPr>
          <w:rFonts w:hint="eastAsia" w:asciiTheme="minorEastAsia" w:hAnsiTheme="minorEastAsia" w:eastAsiaTheme="minorEastAsia" w:cstheme="minorEastAsia"/>
          <w:color w:val="FF0000"/>
          <w:spacing w:val="2"/>
          <w:sz w:val="24"/>
          <w:shd w:val="clear" w:color="auto" w:fill="FFFFFF"/>
        </w:rPr>
        <w:t>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，可在一定时段内，按固定间隔时间，</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同时记录（10～20)组被校数字表和标准表的示值。</w:t>
      </w:r>
    </w:p>
    <w:p w14:paraId="5DE9C7EC">
      <w:pPr>
        <w:spacing w:line="360" w:lineRule="auto"/>
        <w:ind w:firstLine="488" w:firstLineChars="200"/>
        <w:rPr>
          <w:rFonts w:hint="eastAsia"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rPr>
        <w:t>以上数据经排除异常值后，按式（1)计算其相对示值误差。</w:t>
      </w:r>
    </w:p>
    <w:p w14:paraId="32199EE9">
      <w:pPr>
        <w:spacing w:line="360" w:lineRule="auto"/>
        <w:rPr>
          <w:rFonts w:hint="eastAsia"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rPr>
        <w:t>7.2.</w:t>
      </w:r>
      <w:r>
        <w:rPr>
          <w:rFonts w:hint="eastAsia" w:asciiTheme="minorEastAsia" w:hAnsiTheme="minorEastAsia" w:eastAsiaTheme="minorEastAsia" w:cstheme="minorEastAsia"/>
          <w:color w:val="FF0000"/>
          <w:spacing w:val="2"/>
          <w:sz w:val="24"/>
          <w:shd w:val="clear" w:color="auto" w:fill="FFFFFF"/>
          <w:lang w:val="en-US" w:eastAsia="zh-CN"/>
        </w:rPr>
        <w:t>7</w:t>
      </w:r>
      <w:r>
        <w:rPr>
          <w:rFonts w:hint="eastAsia" w:asciiTheme="minorEastAsia" w:hAnsiTheme="minorEastAsia" w:eastAsiaTheme="minorEastAsia" w:cstheme="minorEastAsia"/>
          <w:color w:val="FF0000"/>
          <w:spacing w:val="2"/>
          <w:sz w:val="24"/>
          <w:shd w:val="clear" w:color="auto" w:fill="FFFFFF"/>
          <w:lang w:eastAsia="zh-CN"/>
        </w:rPr>
        <w:t>相位</w:t>
      </w:r>
      <w:r>
        <w:rPr>
          <w:rFonts w:hint="eastAsia" w:asciiTheme="minorEastAsia" w:hAnsiTheme="minorEastAsia" w:eastAsiaTheme="minorEastAsia" w:cstheme="minorEastAsia"/>
          <w:color w:val="FF0000"/>
          <w:spacing w:val="2"/>
          <w:sz w:val="24"/>
          <w:shd w:val="clear" w:color="auto" w:fill="FFFFFF"/>
        </w:rPr>
        <w:t>的相对示值误差校准</w:t>
      </w:r>
    </w:p>
    <w:p w14:paraId="43782363">
      <w:pPr>
        <w:spacing w:line="360" w:lineRule="auto"/>
        <w:ind w:firstLine="488" w:firstLineChars="200"/>
        <w:rPr>
          <w:rFonts w:hint="eastAsia"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lang w:eastAsia="zh-CN"/>
        </w:rPr>
        <w:t>相位</w:t>
      </w:r>
      <w:r>
        <w:rPr>
          <w:rFonts w:hint="eastAsia" w:asciiTheme="minorEastAsia" w:hAnsiTheme="minorEastAsia" w:eastAsiaTheme="minorEastAsia" w:cstheme="minorEastAsia"/>
          <w:spacing w:val="2"/>
          <w:sz w:val="24"/>
          <w:shd w:val="clear" w:color="auto" w:fill="FFFFFF"/>
        </w:rPr>
        <w:t>可使用电能表现场校验仪进行校准，按图4方法接好电能表现场校验仪，</w:t>
      </w:r>
      <w:r>
        <w:rPr>
          <w:rFonts w:hint="eastAsia" w:asciiTheme="minorEastAsia" w:hAnsiTheme="minorEastAsia" w:eastAsiaTheme="minorEastAsia" w:cstheme="minorEastAsia"/>
          <w:color w:val="FF0000"/>
          <w:spacing w:val="2"/>
          <w:sz w:val="24"/>
          <w:shd w:val="clear" w:color="auto" w:fill="FFFFFF"/>
          <w:lang w:eastAsia="zh-CN"/>
        </w:rPr>
        <w:t>选取合适的校准点。</w:t>
      </w:r>
      <w:r>
        <w:rPr>
          <w:rFonts w:hint="eastAsia" w:asciiTheme="minorEastAsia" w:hAnsiTheme="minorEastAsia" w:eastAsiaTheme="minorEastAsia" w:cstheme="minorEastAsia"/>
          <w:color w:val="FF0000"/>
          <w:spacing w:val="2"/>
          <w:sz w:val="24"/>
          <w:shd w:val="clear" w:color="auto" w:fill="FFFFFF"/>
        </w:rPr>
        <w:t>当被测</w:t>
      </w:r>
      <w:r>
        <w:rPr>
          <w:rFonts w:hint="eastAsia" w:asciiTheme="minorEastAsia" w:hAnsiTheme="minorEastAsia" w:eastAsiaTheme="minorEastAsia" w:cstheme="minorEastAsia"/>
          <w:color w:val="FF0000"/>
          <w:spacing w:val="2"/>
          <w:sz w:val="24"/>
          <w:shd w:val="clear" w:color="auto" w:fill="FFFFFF"/>
          <w:lang w:eastAsia="zh-CN"/>
        </w:rPr>
        <w:t>相位</w:t>
      </w:r>
      <w:r>
        <w:rPr>
          <w:rFonts w:hint="eastAsia" w:asciiTheme="minorEastAsia" w:hAnsiTheme="minorEastAsia" w:eastAsiaTheme="minorEastAsia" w:cstheme="minorEastAsia"/>
          <w:color w:val="FF0000"/>
          <w:spacing w:val="2"/>
          <w:sz w:val="24"/>
          <w:shd w:val="clear" w:color="auto" w:fill="FFFFFF"/>
        </w:rPr>
        <w:t>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同时记录（2～6)组被校数字表和标准表的示值；如被测</w:t>
      </w:r>
      <w:r>
        <w:rPr>
          <w:rFonts w:hint="eastAsia" w:asciiTheme="minorEastAsia" w:hAnsiTheme="minorEastAsia" w:eastAsiaTheme="minorEastAsia" w:cstheme="minorEastAsia"/>
          <w:color w:val="FF0000"/>
          <w:spacing w:val="2"/>
          <w:sz w:val="24"/>
          <w:shd w:val="clear" w:color="auto" w:fill="FFFFFF"/>
          <w:lang w:eastAsia="zh-CN"/>
        </w:rPr>
        <w:t>相位</w:t>
      </w:r>
      <w:r>
        <w:rPr>
          <w:rFonts w:hint="eastAsia" w:asciiTheme="minorEastAsia" w:hAnsiTheme="minorEastAsia" w:eastAsiaTheme="minorEastAsia" w:cstheme="minorEastAsia"/>
          <w:color w:val="FF0000"/>
          <w:spacing w:val="2"/>
          <w:sz w:val="24"/>
          <w:shd w:val="clear" w:color="auto" w:fill="FFFFFF"/>
        </w:rPr>
        <w:t>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 xml:space="preserve">，可在一定时段内，按固定间隔时间， </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同时记录（10～20)组被校数字表和标准表的示值，排除异常值后，按式（1)计算其相对示值误差。</w:t>
      </w:r>
    </w:p>
    <w:p w14:paraId="1E6E4675">
      <w:pPr>
        <w:spacing w:line="360" w:lineRule="auto"/>
        <w:rPr>
          <w:rFonts w:hint="eastAsia"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rPr>
        <w:t>7.2.</w:t>
      </w:r>
      <w:r>
        <w:rPr>
          <w:rFonts w:hint="eastAsia" w:asciiTheme="minorEastAsia" w:hAnsiTheme="minorEastAsia" w:eastAsiaTheme="minorEastAsia" w:cstheme="minorEastAsia"/>
          <w:color w:val="FF0000"/>
          <w:spacing w:val="2"/>
          <w:sz w:val="24"/>
          <w:shd w:val="clear" w:color="auto" w:fill="FFFFFF"/>
          <w:lang w:val="en-US" w:eastAsia="zh-CN"/>
        </w:rPr>
        <w:t>8</w:t>
      </w:r>
      <w:r>
        <w:rPr>
          <w:rFonts w:hint="eastAsia" w:asciiTheme="minorEastAsia" w:hAnsiTheme="minorEastAsia" w:eastAsiaTheme="minorEastAsia" w:cstheme="minorEastAsia"/>
          <w:color w:val="FF0000"/>
          <w:spacing w:val="2"/>
          <w:sz w:val="24"/>
          <w:shd w:val="clear" w:color="auto" w:fill="FFFFFF"/>
          <w:lang w:eastAsia="zh-CN"/>
        </w:rPr>
        <w:t>功率因数</w:t>
      </w:r>
      <w:r>
        <w:rPr>
          <w:rFonts w:hint="eastAsia" w:asciiTheme="minorEastAsia" w:hAnsiTheme="minorEastAsia" w:eastAsiaTheme="minorEastAsia" w:cstheme="minorEastAsia"/>
          <w:color w:val="FF0000"/>
          <w:spacing w:val="2"/>
          <w:sz w:val="24"/>
          <w:shd w:val="clear" w:color="auto" w:fill="FFFFFF"/>
        </w:rPr>
        <w:t>的相对示值误差校准</w:t>
      </w:r>
    </w:p>
    <w:p w14:paraId="438AA05C">
      <w:pPr>
        <w:spacing w:line="360" w:lineRule="auto"/>
        <w:ind w:firstLine="488" w:firstLineChars="200"/>
        <w:rPr>
          <w:rFonts w:hint="eastAsia" w:asciiTheme="minorEastAsia" w:hAnsiTheme="minorEastAsia" w:eastAsiaTheme="minorEastAsia" w:cstheme="minorEastAsia"/>
          <w:color w:val="FF0000"/>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lang w:eastAsia="zh-CN"/>
        </w:rPr>
        <w:t>功率因数</w:t>
      </w:r>
      <w:r>
        <w:rPr>
          <w:rFonts w:hint="eastAsia" w:asciiTheme="minorEastAsia" w:hAnsiTheme="minorEastAsia" w:eastAsiaTheme="minorEastAsia" w:cstheme="minorEastAsia"/>
          <w:spacing w:val="2"/>
          <w:sz w:val="24"/>
          <w:shd w:val="clear" w:color="auto" w:fill="FFFFFF"/>
        </w:rPr>
        <w:t>可使用电能表现场校验仪进行校准，按图4方法接好电能表现场校验仪，</w:t>
      </w:r>
      <w:r>
        <w:rPr>
          <w:rFonts w:hint="eastAsia" w:asciiTheme="minorEastAsia" w:hAnsiTheme="minorEastAsia" w:eastAsiaTheme="minorEastAsia" w:cstheme="minorEastAsia"/>
          <w:color w:val="FF0000"/>
          <w:spacing w:val="2"/>
          <w:sz w:val="24"/>
          <w:shd w:val="clear" w:color="auto" w:fill="FFFFFF"/>
          <w:lang w:eastAsia="zh-CN"/>
        </w:rPr>
        <w:t>选取合适的校准点。</w:t>
      </w:r>
      <w:r>
        <w:rPr>
          <w:rFonts w:hint="eastAsia" w:asciiTheme="minorEastAsia" w:hAnsiTheme="minorEastAsia" w:eastAsiaTheme="minorEastAsia" w:cstheme="minorEastAsia"/>
          <w:color w:val="FF0000"/>
          <w:spacing w:val="2"/>
          <w:sz w:val="24"/>
          <w:shd w:val="clear" w:color="auto" w:fill="FFFFFF"/>
        </w:rPr>
        <w:t>当被测</w:t>
      </w:r>
      <w:r>
        <w:rPr>
          <w:rFonts w:hint="eastAsia" w:asciiTheme="minorEastAsia" w:hAnsiTheme="minorEastAsia" w:eastAsiaTheme="minorEastAsia" w:cstheme="minorEastAsia"/>
          <w:color w:val="FF0000"/>
          <w:spacing w:val="2"/>
          <w:sz w:val="24"/>
          <w:shd w:val="clear" w:color="auto" w:fill="FFFFFF"/>
          <w:lang w:eastAsia="zh-CN"/>
        </w:rPr>
        <w:t>功率因数</w:t>
      </w:r>
      <w:r>
        <w:rPr>
          <w:rFonts w:hint="eastAsia" w:asciiTheme="minorEastAsia" w:hAnsiTheme="minorEastAsia" w:eastAsiaTheme="minorEastAsia" w:cstheme="minorEastAsia"/>
          <w:color w:val="FF0000"/>
          <w:spacing w:val="2"/>
          <w:sz w:val="24"/>
          <w:shd w:val="clear" w:color="auto" w:fill="FFFFFF"/>
        </w:rPr>
        <w:t>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同时记录（2～6)组被校数字表和标准表的示值；如被测</w:t>
      </w:r>
      <w:r>
        <w:rPr>
          <w:rFonts w:hint="eastAsia" w:asciiTheme="minorEastAsia" w:hAnsiTheme="minorEastAsia" w:eastAsiaTheme="minorEastAsia" w:cstheme="minorEastAsia"/>
          <w:color w:val="FF0000"/>
          <w:spacing w:val="2"/>
          <w:sz w:val="24"/>
          <w:shd w:val="clear" w:color="auto" w:fill="FFFFFF"/>
          <w:lang w:eastAsia="zh-CN"/>
        </w:rPr>
        <w:t>功率因数</w:t>
      </w:r>
      <w:r>
        <w:rPr>
          <w:rFonts w:hint="eastAsia" w:asciiTheme="minorEastAsia" w:hAnsiTheme="minorEastAsia" w:eastAsiaTheme="minorEastAsia" w:cstheme="minorEastAsia"/>
          <w:color w:val="FF0000"/>
          <w:spacing w:val="2"/>
          <w:sz w:val="24"/>
          <w:shd w:val="clear" w:color="auto" w:fill="FFFFFF"/>
        </w:rPr>
        <w:t>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 xml:space="preserve">，可在一定时段内，按固定间隔时间， </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同时记录（10～20)组被校数字表和标准表的示值，排除异常值后，按式（1)计算其相对示值误差。</w:t>
      </w:r>
    </w:p>
    <w:p w14:paraId="13006058">
      <w:pPr>
        <w:spacing w:line="360" w:lineRule="auto"/>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color w:val="FF0000"/>
          <w:spacing w:val="2"/>
          <w:sz w:val="24"/>
          <w:shd w:val="clear" w:color="auto" w:fill="FFFFFF"/>
        </w:rPr>
        <w:t>7.2.</w:t>
      </w:r>
      <w:r>
        <w:rPr>
          <w:rFonts w:hint="eastAsia" w:asciiTheme="minorEastAsia" w:hAnsiTheme="minorEastAsia" w:eastAsiaTheme="minorEastAsia" w:cstheme="minorEastAsia"/>
          <w:color w:val="FF0000"/>
          <w:spacing w:val="2"/>
          <w:sz w:val="24"/>
          <w:shd w:val="clear" w:color="auto" w:fill="FFFFFF"/>
          <w:lang w:val="en-US" w:eastAsia="zh-CN"/>
        </w:rPr>
        <w:t>9</w:t>
      </w:r>
      <w:r>
        <w:rPr>
          <w:rFonts w:hint="eastAsia" w:asciiTheme="minorEastAsia" w:hAnsiTheme="minorEastAsia" w:eastAsiaTheme="minorEastAsia" w:cstheme="minorEastAsia"/>
          <w:spacing w:val="2"/>
          <w:sz w:val="24"/>
          <w:shd w:val="clear" w:color="auto" w:fill="FFFFFF"/>
        </w:rPr>
        <w:t>电能的相对示值误差校准</w:t>
      </w:r>
    </w:p>
    <w:p w14:paraId="26A802E9">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有功电能和无功电能可在正常工作的情况下使用电能表现场校验仪进行校准，用被校表输出的脉冲(低频或高频)控制电能表现场校验仪计数来自动计算该表的相对误差。</w:t>
      </w:r>
    </w:p>
    <w:p w14:paraId="2ADD186A">
      <w:pPr>
        <w:spacing w:line="360" w:lineRule="auto"/>
        <w:ind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按图4方法接好电能表现场校验仪，</w:t>
      </w:r>
      <w:r>
        <w:rPr>
          <w:rFonts w:hint="eastAsia" w:asciiTheme="minorEastAsia" w:hAnsiTheme="minorEastAsia" w:eastAsiaTheme="minorEastAsia" w:cstheme="minorEastAsia"/>
          <w:color w:val="FF0000"/>
          <w:spacing w:val="2"/>
          <w:sz w:val="24"/>
          <w:shd w:val="clear" w:color="auto" w:fill="FFFFFF"/>
          <w:lang w:eastAsia="zh-CN"/>
        </w:rPr>
        <w:t>选取合适的校准点。</w:t>
      </w:r>
      <w:r>
        <w:rPr>
          <w:rFonts w:hint="eastAsia" w:asciiTheme="minorEastAsia" w:hAnsiTheme="minorEastAsia" w:eastAsiaTheme="minorEastAsia" w:cstheme="minorEastAsia"/>
          <w:color w:val="FF0000"/>
          <w:spacing w:val="2"/>
          <w:sz w:val="24"/>
          <w:shd w:val="clear" w:color="auto" w:fill="FFFFFF"/>
        </w:rPr>
        <w:t>当被测</w:t>
      </w:r>
      <w:r>
        <w:rPr>
          <w:rFonts w:hint="eastAsia" w:asciiTheme="minorEastAsia" w:hAnsiTheme="minorEastAsia" w:eastAsiaTheme="minorEastAsia" w:cstheme="minorEastAsia"/>
          <w:color w:val="FF0000"/>
          <w:spacing w:val="2"/>
          <w:sz w:val="24"/>
          <w:shd w:val="clear" w:color="auto" w:fill="FFFFFF"/>
          <w:lang w:eastAsia="zh-CN"/>
        </w:rPr>
        <w:t>电能误差</w:t>
      </w:r>
      <w:r>
        <w:rPr>
          <w:rFonts w:hint="eastAsia" w:asciiTheme="minorEastAsia" w:hAnsiTheme="minorEastAsia" w:eastAsiaTheme="minorEastAsia" w:cstheme="minorEastAsia"/>
          <w:color w:val="FF0000"/>
          <w:spacing w:val="2"/>
          <w:sz w:val="24"/>
          <w:shd w:val="clear" w:color="auto" w:fill="FFFFFF"/>
        </w:rPr>
        <w:t>数值稳定时，</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同时记录（2～6)组被校数字表和标准表的示值；如被测</w:t>
      </w:r>
      <w:r>
        <w:rPr>
          <w:rFonts w:hint="eastAsia" w:asciiTheme="minorEastAsia" w:hAnsiTheme="minorEastAsia" w:eastAsiaTheme="minorEastAsia" w:cstheme="minorEastAsia"/>
          <w:color w:val="FF0000"/>
          <w:spacing w:val="2"/>
          <w:sz w:val="24"/>
          <w:shd w:val="clear" w:color="auto" w:fill="FFFFFF"/>
          <w:lang w:eastAsia="zh-CN"/>
        </w:rPr>
        <w:t>电能误差</w:t>
      </w:r>
      <w:r>
        <w:rPr>
          <w:rFonts w:hint="eastAsia" w:asciiTheme="minorEastAsia" w:hAnsiTheme="minorEastAsia" w:eastAsiaTheme="minorEastAsia" w:cstheme="minorEastAsia"/>
          <w:color w:val="FF0000"/>
          <w:spacing w:val="2"/>
          <w:sz w:val="24"/>
          <w:shd w:val="clear" w:color="auto" w:fill="FFFFFF"/>
        </w:rPr>
        <w:t>数值规律性变化</w:t>
      </w:r>
      <w:r>
        <w:rPr>
          <w:rFonts w:hint="eastAsia" w:asciiTheme="minorEastAsia" w:hAnsiTheme="minorEastAsia" w:eastAsiaTheme="minorEastAsia" w:cstheme="minorEastAsia"/>
          <w:color w:val="FF0000"/>
          <w:spacing w:val="2"/>
          <w:sz w:val="24"/>
          <w:shd w:val="clear" w:color="auto" w:fill="FFFFFF"/>
          <w:lang w:eastAsia="zh-CN"/>
        </w:rPr>
        <w:t>且波动范围不超过被测均值的</w:t>
      </w:r>
      <w:r>
        <w:rPr>
          <w:rFonts w:hint="eastAsia" w:asciiTheme="minorEastAsia" w:hAnsiTheme="minorEastAsia" w:eastAsiaTheme="minorEastAsia" w:cstheme="minorEastAsia"/>
          <w:color w:val="FF0000"/>
          <w:spacing w:val="2"/>
          <w:sz w:val="24"/>
          <w:shd w:val="clear" w:color="auto" w:fill="FFFFFF"/>
          <w:lang w:val="en-US" w:eastAsia="zh-CN"/>
        </w:rPr>
        <w:t>±5%时</w:t>
      </w:r>
      <w:r>
        <w:rPr>
          <w:rFonts w:hint="eastAsia" w:asciiTheme="minorEastAsia" w:hAnsiTheme="minorEastAsia" w:eastAsiaTheme="minorEastAsia" w:cstheme="minorEastAsia"/>
          <w:color w:val="FF0000"/>
          <w:spacing w:val="2"/>
          <w:sz w:val="24"/>
          <w:shd w:val="clear" w:color="auto" w:fill="FFFFFF"/>
        </w:rPr>
        <w:t xml:space="preserve">，可在一定时段内，按固定间隔时间， </w:t>
      </w:r>
      <w:r>
        <w:rPr>
          <w:rFonts w:hint="eastAsia" w:asciiTheme="minorEastAsia" w:hAnsiTheme="minorEastAsia" w:eastAsiaTheme="minorEastAsia" w:cstheme="minorEastAsia"/>
          <w:color w:val="FF0000"/>
          <w:spacing w:val="2"/>
          <w:sz w:val="24"/>
          <w:shd w:val="clear" w:color="auto" w:fill="FFFFFF"/>
          <w:lang w:eastAsia="zh-CN"/>
        </w:rPr>
        <w:t>采用拍照、录视频等方式，</w:t>
      </w:r>
      <w:r>
        <w:rPr>
          <w:rFonts w:hint="eastAsia" w:asciiTheme="minorEastAsia" w:hAnsiTheme="minorEastAsia" w:eastAsiaTheme="minorEastAsia" w:cstheme="minorEastAsia"/>
          <w:color w:val="FF0000"/>
          <w:spacing w:val="2"/>
          <w:sz w:val="24"/>
          <w:shd w:val="clear" w:color="auto" w:fill="FFFFFF"/>
        </w:rPr>
        <w:t>同时记录（10～20)组被校数字表和标准表的示值，</w:t>
      </w:r>
      <w:r>
        <w:rPr>
          <w:rFonts w:hint="eastAsia" w:asciiTheme="minorEastAsia" w:hAnsiTheme="minorEastAsia" w:eastAsiaTheme="minorEastAsia" w:cstheme="minorEastAsia"/>
          <w:spacing w:val="2"/>
          <w:sz w:val="24"/>
          <w:shd w:val="clear" w:color="auto" w:fill="FFFFFF"/>
        </w:rPr>
        <w:t>排除异常值后，计算其平均值即为该表的相对示值误差。</w:t>
      </w:r>
    </w:p>
    <w:p w14:paraId="23747910">
      <w:pPr>
        <w:spacing w:line="360" w:lineRule="auto"/>
        <w:ind w:firstLine="360" w:firstLineChars="200"/>
        <w:jc w:val="center"/>
        <w:rPr>
          <w:rFonts w:asciiTheme="minorEastAsia" w:hAnsiTheme="minorEastAsia" w:eastAsiaTheme="minorEastAsia" w:cstheme="minorEastAsia"/>
          <w:spacing w:val="2"/>
          <w:sz w:val="18"/>
          <w:szCs w:val="18"/>
          <w:shd w:val="clear" w:color="auto" w:fill="FFFFFF"/>
        </w:rPr>
      </w:pPr>
      <w:r>
        <w:rPr>
          <w:rFonts w:hint="eastAsia" w:asciiTheme="minorEastAsia" w:hAnsiTheme="minorEastAsia" w:eastAsiaTheme="minorEastAsia" w:cstheme="minorEastAsia"/>
          <w:sz w:val="18"/>
          <w:szCs w:val="18"/>
        </w:rPr>
        <w:drawing>
          <wp:anchor distT="0" distB="0" distL="114300" distR="114300" simplePos="0" relativeHeight="251665408" behindDoc="0" locked="0" layoutInCell="1" allowOverlap="1">
            <wp:simplePos x="0" y="0"/>
            <wp:positionH relativeFrom="column">
              <wp:posOffset>170815</wp:posOffset>
            </wp:positionH>
            <wp:positionV relativeFrom="paragraph">
              <wp:posOffset>155575</wp:posOffset>
            </wp:positionV>
            <wp:extent cx="5267325" cy="3419475"/>
            <wp:effectExtent l="0" t="0" r="9525" b="9525"/>
            <wp:wrapTopAndBottom/>
            <wp:docPr id="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3"/>
                    <pic:cNvPicPr>
                      <a:picLocks noChangeAspect="1"/>
                    </pic:cNvPicPr>
                  </pic:nvPicPr>
                  <pic:blipFill>
                    <a:blip r:embed="rId26"/>
                    <a:stretch>
                      <a:fillRect/>
                    </a:stretch>
                  </pic:blipFill>
                  <pic:spPr>
                    <a:xfrm>
                      <a:off x="0" y="0"/>
                      <a:ext cx="5267325" cy="3419475"/>
                    </a:xfrm>
                    <a:prstGeom prst="rect">
                      <a:avLst/>
                    </a:prstGeom>
                    <a:noFill/>
                    <a:ln>
                      <a:noFill/>
                    </a:ln>
                  </pic:spPr>
                </pic:pic>
              </a:graphicData>
            </a:graphic>
          </wp:anchor>
        </w:drawing>
      </w:r>
      <w:r>
        <w:rPr>
          <w:rFonts w:hint="eastAsia" w:asciiTheme="minorEastAsia" w:hAnsiTheme="minorEastAsia" w:eastAsiaTheme="minorEastAsia" w:cstheme="minorEastAsia"/>
          <w:spacing w:val="2"/>
          <w:sz w:val="18"/>
          <w:szCs w:val="18"/>
          <w:shd w:val="clear" w:color="auto" w:fill="FFFFFF"/>
        </w:rPr>
        <w:t>图4电能表现场校验仪接线图</w:t>
      </w:r>
    </w:p>
    <w:p w14:paraId="477A1129">
      <w:pPr>
        <w:tabs>
          <w:tab w:val="left" w:pos="0"/>
        </w:tabs>
        <w:spacing w:line="360" w:lineRule="auto"/>
        <w:ind w:right="11" w:firstLine="488" w:firstLineChars="200"/>
        <w:rPr>
          <w:rFonts w:asciiTheme="minorEastAsia" w:hAnsiTheme="minorEastAsia" w:eastAsiaTheme="minorEastAsia" w:cstheme="minorEastAsia"/>
          <w:spacing w:val="2"/>
          <w:sz w:val="24"/>
          <w:shd w:val="clear" w:color="auto" w:fill="FFFFFF"/>
        </w:rPr>
      </w:pPr>
      <w:r>
        <w:rPr>
          <w:rFonts w:hint="eastAsia" w:asciiTheme="minorEastAsia" w:hAnsiTheme="minorEastAsia" w:eastAsiaTheme="minorEastAsia" w:cstheme="minorEastAsia"/>
          <w:spacing w:val="2"/>
          <w:sz w:val="24"/>
          <w:shd w:val="clear" w:color="auto" w:fill="FFFFFF"/>
        </w:rPr>
        <w:t>电能参量进行</w:t>
      </w:r>
      <w:r>
        <w:rPr>
          <w:rFonts w:hint="eastAsia" w:asciiTheme="minorEastAsia" w:hAnsiTheme="minorEastAsia" w:eastAsiaTheme="minorEastAsia" w:cstheme="minorEastAsia"/>
          <w:sz w:val="24"/>
        </w:rPr>
        <w:t>现场校准时</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负载功率应为实际的常用负载，当负载电流低于被校准电能表额定电流</w:t>
      </w:r>
      <w:r>
        <w:rPr>
          <w:rFonts w:hint="eastAsia" w:asciiTheme="minorEastAsia" w:hAnsiTheme="minorEastAsia" w:eastAsiaTheme="minorEastAsia" w:cstheme="minorEastAsia"/>
          <w:spacing w:val="2"/>
          <w:sz w:val="24"/>
          <w:shd w:val="clear" w:color="auto" w:fill="FFFFFF"/>
        </w:rPr>
        <w:t>10%或功率因数低于0.5时，不宜进行现场校准。</w:t>
      </w:r>
    </w:p>
    <w:p w14:paraId="6A6AEABA">
      <w:pPr>
        <w:spacing w:line="360" w:lineRule="auto"/>
        <w:rPr>
          <w:rFonts w:asciiTheme="minorEastAsia" w:hAnsiTheme="minorEastAsia" w:eastAsiaTheme="minorEastAsia" w:cstheme="minorEastAsia"/>
          <w:spacing w:val="2"/>
          <w:sz w:val="24"/>
          <w:shd w:val="clear" w:color="auto" w:fill="FFFFFF"/>
        </w:rPr>
      </w:pPr>
    </w:p>
    <w:p w14:paraId="7650C2EE">
      <w:pPr>
        <w:spacing w:line="360" w:lineRule="auto"/>
        <w:rPr>
          <w:rFonts w:ascii="黑体" w:hAnsi="黑体" w:eastAsia="黑体" w:cs="黑体"/>
          <w:sz w:val="24"/>
        </w:rPr>
      </w:pPr>
      <w:r>
        <w:rPr>
          <w:rFonts w:hint="eastAsia" w:ascii="黑体" w:hAnsi="黑体" w:eastAsia="黑体" w:cs="黑体"/>
          <w:sz w:val="24"/>
        </w:rPr>
        <w:t>8校准结果表达</w:t>
      </w:r>
    </w:p>
    <w:p w14:paraId="3A4FABD8">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校准结果应在校准证书上反映。校准证书应至少包括以下信息：</w:t>
      </w:r>
    </w:p>
    <w:p w14:paraId="1B239D11">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a)  标题，如“校准证书”；</w:t>
      </w:r>
    </w:p>
    <w:p w14:paraId="03A09DFC">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b)  实验室名称和地址；</w:t>
      </w:r>
    </w:p>
    <w:p w14:paraId="17AED532">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  进行校准的地点（如果与实验室的地址不同）；</w:t>
      </w:r>
    </w:p>
    <w:p w14:paraId="3207A9DB">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d)  证书或报告的唯一性标识（如编号），每页及总页数的标识；</w:t>
      </w:r>
    </w:p>
    <w:p w14:paraId="5ADCC511">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e)  客户的名称和地址；</w:t>
      </w:r>
    </w:p>
    <w:p w14:paraId="657D58D5">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f)  被校对象的描述和明确标识；</w:t>
      </w:r>
    </w:p>
    <w:p w14:paraId="484989E9">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g)  进行校准的日期，如果与校准结果的有效性应用有关时，应说明被校对象的接收日期；</w:t>
      </w:r>
    </w:p>
    <w:p w14:paraId="53F031DF">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h)  如果与校准结果的有效性应用有关时，应对被校样品的抽样程序进行说明；</w:t>
      </w:r>
    </w:p>
    <w:p w14:paraId="2620E9B1">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i)  校准所依据的技术规范的标识，包括名称及代号；</w:t>
      </w:r>
    </w:p>
    <w:p w14:paraId="0A632B09">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j)  本次校准所用测量标准的溯源性及有效性说明；</w:t>
      </w:r>
    </w:p>
    <w:p w14:paraId="602C87AF">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k)  校准环境的描述；</w:t>
      </w:r>
    </w:p>
    <w:p w14:paraId="410CDC5F">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l)  校准结果及测量不确定度的说明；</w:t>
      </w:r>
    </w:p>
    <w:p w14:paraId="3B8F3502">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m) 对校准规范的偏离的说明；</w:t>
      </w:r>
    </w:p>
    <w:p w14:paraId="776870BA">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n)  校准证书或校准报告签发人的签名、职务或等效标识；</w:t>
      </w:r>
    </w:p>
    <w:p w14:paraId="4E5C481A">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o)  校准结果仅对被校对象有效的声明；</w:t>
      </w:r>
    </w:p>
    <w:p w14:paraId="22ADE55D">
      <w:pPr>
        <w:spacing w:line="360"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p)  未经实验室书面批准，不得部分复制证书的声明。</w:t>
      </w:r>
    </w:p>
    <w:p w14:paraId="1CC37492">
      <w:pPr>
        <w:pStyle w:val="4"/>
        <w:spacing w:line="360" w:lineRule="auto"/>
        <w:ind w:right="11"/>
        <w:rPr>
          <w:rFonts w:ascii="黑体" w:hAnsi="黑体" w:eastAsia="黑体" w:cs="黑体"/>
          <w:sz w:val="24"/>
          <w:szCs w:val="24"/>
        </w:rPr>
      </w:pPr>
      <w:r>
        <w:rPr>
          <w:rFonts w:hint="eastAsia" w:ascii="黑体" w:hAnsi="黑体" w:eastAsia="黑体" w:cs="黑体"/>
          <w:sz w:val="24"/>
          <w:szCs w:val="24"/>
        </w:rPr>
        <w:t>9复校时间间隔</w:t>
      </w:r>
    </w:p>
    <w:p w14:paraId="3B460680">
      <w:pPr>
        <w:pStyle w:val="4"/>
        <w:spacing w:line="360" w:lineRule="auto"/>
        <w:ind w:right="11"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由于复校时间间隔的长短是由仪表的使用情况、使用者、仪表本身质量等诸因素所决定的，因此，送校单位可根据实际使用情况自主决定复校时间间隔，建议不超过1年。</w:t>
      </w:r>
    </w:p>
    <w:p w14:paraId="65EFFDDD">
      <w:pPr>
        <w:pStyle w:val="4"/>
        <w:spacing w:line="360" w:lineRule="auto"/>
        <w:ind w:right="11"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555504BD">
      <w:pPr>
        <w:spacing w:line="360" w:lineRule="auto"/>
        <w:rPr>
          <w:rFonts w:ascii="黑体" w:hAnsi="黑体" w:eastAsia="黑体" w:cs="黑体"/>
          <w:sz w:val="24"/>
        </w:rPr>
      </w:pPr>
      <w:r>
        <w:rPr>
          <w:rFonts w:hint="eastAsia" w:ascii="黑体" w:hAnsi="黑体" w:eastAsia="黑体" w:cs="黑体"/>
          <w:sz w:val="24"/>
        </w:rPr>
        <w:t>附录A</w:t>
      </w:r>
    </w:p>
    <w:p w14:paraId="076A5DB1">
      <w:pPr>
        <w:tabs>
          <w:tab w:val="left" w:pos="510"/>
          <w:tab w:val="left" w:pos="4995"/>
        </w:tabs>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安装式数字显示电测量仪表在线校准原始记录格式（</w:t>
      </w:r>
      <w:r>
        <w:rPr>
          <w:rFonts w:hint="eastAsia" w:asciiTheme="minorEastAsia" w:hAnsiTheme="minorEastAsia" w:eastAsiaTheme="minorEastAsia" w:cstheme="minorEastAsia"/>
          <w:sz w:val="24"/>
          <w:lang w:val="en-US" w:eastAsia="zh-CN"/>
        </w:rPr>
        <w:t>参考</w:t>
      </w:r>
      <w:r>
        <w:rPr>
          <w:rFonts w:hint="eastAsia" w:asciiTheme="minorEastAsia" w:hAnsiTheme="minorEastAsia" w:eastAsiaTheme="minorEastAsia" w:cstheme="minorEastAsia"/>
          <w:sz w:val="24"/>
        </w:rPr>
        <w:t>）</w:t>
      </w:r>
    </w:p>
    <w:tbl>
      <w:tblPr>
        <w:tblStyle w:val="10"/>
        <w:tblW w:w="9010" w:type="dxa"/>
        <w:tblInd w:w="91" w:type="dxa"/>
        <w:tblLayout w:type="fixed"/>
        <w:tblCellMar>
          <w:top w:w="0" w:type="dxa"/>
          <w:left w:w="108" w:type="dxa"/>
          <w:bottom w:w="0" w:type="dxa"/>
          <w:right w:w="108" w:type="dxa"/>
        </w:tblCellMar>
      </w:tblPr>
      <w:tblGrid>
        <w:gridCol w:w="1096"/>
        <w:gridCol w:w="403"/>
        <w:gridCol w:w="479"/>
        <w:gridCol w:w="317"/>
        <w:gridCol w:w="414"/>
        <w:gridCol w:w="289"/>
        <w:gridCol w:w="637"/>
        <w:gridCol w:w="321"/>
        <w:gridCol w:w="541"/>
        <w:gridCol w:w="253"/>
        <w:gridCol w:w="58"/>
        <w:gridCol w:w="167"/>
        <w:gridCol w:w="960"/>
        <w:gridCol w:w="61"/>
        <w:gridCol w:w="164"/>
        <w:gridCol w:w="155"/>
        <w:gridCol w:w="573"/>
        <w:gridCol w:w="667"/>
        <w:gridCol w:w="100"/>
        <w:gridCol w:w="1341"/>
        <w:gridCol w:w="14"/>
      </w:tblGrid>
      <w:tr w14:paraId="57E0E1EB">
        <w:tblPrEx>
          <w:tblCellMar>
            <w:top w:w="0" w:type="dxa"/>
            <w:left w:w="108" w:type="dxa"/>
            <w:bottom w:w="0" w:type="dxa"/>
            <w:right w:w="108" w:type="dxa"/>
          </w:tblCellMar>
        </w:tblPrEx>
        <w:trPr>
          <w:trHeight w:val="425" w:hRule="exact"/>
        </w:trPr>
        <w:tc>
          <w:tcPr>
            <w:tcW w:w="4808"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7DA6B882">
            <w:pPr>
              <w:widowControl/>
              <w:spacing w:line="360" w:lineRule="auto"/>
              <w:jc w:val="left"/>
              <w:rPr>
                <w:rFonts w:ascii="宋体" w:hAnsi="宋体" w:cs="宋体"/>
                <w:kern w:val="0"/>
                <w:szCs w:val="21"/>
              </w:rPr>
            </w:pPr>
            <w:r>
              <w:rPr>
                <w:rFonts w:hint="eastAsia" w:ascii="宋体" w:hAnsi="宋体" w:cs="宋体"/>
                <w:kern w:val="0"/>
                <w:szCs w:val="21"/>
              </w:rPr>
              <w:t>委托单位：</w:t>
            </w:r>
          </w:p>
        </w:tc>
        <w:tc>
          <w:tcPr>
            <w:tcW w:w="4202"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37E9BC96">
            <w:pPr>
              <w:widowControl/>
              <w:spacing w:line="360" w:lineRule="auto"/>
              <w:jc w:val="left"/>
              <w:rPr>
                <w:rFonts w:ascii="宋体" w:hAnsi="宋体" w:cs="宋体"/>
                <w:kern w:val="0"/>
                <w:szCs w:val="21"/>
              </w:rPr>
            </w:pPr>
            <w:r>
              <w:rPr>
                <w:rFonts w:hint="eastAsia" w:ascii="宋体" w:hAnsi="宋体" w:cs="宋体"/>
                <w:kern w:val="0"/>
                <w:szCs w:val="21"/>
              </w:rPr>
              <w:t>校准证书编号：</w:t>
            </w:r>
          </w:p>
        </w:tc>
      </w:tr>
      <w:tr w14:paraId="305856DF">
        <w:tblPrEx>
          <w:tblCellMar>
            <w:top w:w="0" w:type="dxa"/>
            <w:left w:w="108" w:type="dxa"/>
            <w:bottom w:w="0" w:type="dxa"/>
            <w:right w:w="108" w:type="dxa"/>
          </w:tblCellMar>
        </w:tblPrEx>
        <w:trPr>
          <w:trHeight w:val="425" w:hRule="exact"/>
        </w:trPr>
        <w:tc>
          <w:tcPr>
            <w:tcW w:w="4808"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2B0B428D">
            <w:pPr>
              <w:widowControl/>
              <w:spacing w:line="360" w:lineRule="auto"/>
              <w:jc w:val="left"/>
              <w:rPr>
                <w:rFonts w:ascii="宋体" w:hAnsi="宋体" w:cs="宋体"/>
                <w:kern w:val="0"/>
                <w:szCs w:val="21"/>
              </w:rPr>
            </w:pPr>
            <w:r>
              <w:rPr>
                <w:rFonts w:hint="eastAsia" w:ascii="宋体" w:hAnsi="宋体" w:cs="宋体"/>
                <w:kern w:val="0"/>
                <w:szCs w:val="21"/>
              </w:rPr>
              <w:t>委托单位地址：</w:t>
            </w:r>
          </w:p>
        </w:tc>
        <w:tc>
          <w:tcPr>
            <w:tcW w:w="4202"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64D45AF0">
            <w:pPr>
              <w:widowControl/>
              <w:spacing w:line="360" w:lineRule="auto"/>
              <w:jc w:val="left"/>
              <w:rPr>
                <w:rFonts w:ascii="宋体" w:hAnsi="宋体" w:cs="宋体"/>
                <w:kern w:val="0"/>
                <w:szCs w:val="21"/>
              </w:rPr>
            </w:pPr>
            <w:r>
              <w:rPr>
                <w:rFonts w:hint="eastAsia" w:ascii="宋体" w:hAnsi="宋体" w:cs="宋体"/>
                <w:kern w:val="0"/>
                <w:szCs w:val="21"/>
              </w:rPr>
              <w:t>校准依据：</w:t>
            </w:r>
          </w:p>
        </w:tc>
      </w:tr>
      <w:tr w14:paraId="3BC95409">
        <w:tblPrEx>
          <w:tblCellMar>
            <w:top w:w="0" w:type="dxa"/>
            <w:left w:w="108" w:type="dxa"/>
            <w:bottom w:w="0" w:type="dxa"/>
            <w:right w:w="108" w:type="dxa"/>
          </w:tblCellMar>
        </w:tblPrEx>
        <w:trPr>
          <w:trHeight w:val="425" w:hRule="exact"/>
        </w:trPr>
        <w:tc>
          <w:tcPr>
            <w:tcW w:w="4808"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6D06FA81">
            <w:pPr>
              <w:widowControl/>
              <w:spacing w:line="360" w:lineRule="auto"/>
              <w:jc w:val="left"/>
              <w:rPr>
                <w:rFonts w:ascii="宋体" w:hAnsi="宋体" w:cs="宋体"/>
                <w:kern w:val="0"/>
                <w:szCs w:val="21"/>
              </w:rPr>
            </w:pPr>
            <w:r>
              <w:rPr>
                <w:rFonts w:hint="eastAsia" w:ascii="宋体" w:hAnsi="宋体" w:cs="宋体"/>
                <w:kern w:val="0"/>
                <w:szCs w:val="21"/>
              </w:rPr>
              <w:t>仪器名称：</w:t>
            </w:r>
          </w:p>
        </w:tc>
        <w:tc>
          <w:tcPr>
            <w:tcW w:w="4202"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23511A54">
            <w:pPr>
              <w:widowControl/>
              <w:spacing w:line="360" w:lineRule="auto"/>
              <w:jc w:val="left"/>
              <w:rPr>
                <w:rFonts w:ascii="宋体" w:hAnsi="宋体" w:cs="宋体"/>
                <w:kern w:val="0"/>
                <w:szCs w:val="21"/>
              </w:rPr>
            </w:pPr>
            <w:r>
              <w:rPr>
                <w:rFonts w:hint="eastAsia" w:ascii="宋体" w:hAnsi="宋体" w:cs="宋体"/>
                <w:kern w:val="0"/>
                <w:szCs w:val="21"/>
              </w:rPr>
              <w:t>型号规格：</w:t>
            </w:r>
          </w:p>
        </w:tc>
      </w:tr>
      <w:tr w14:paraId="368BCB67">
        <w:tblPrEx>
          <w:tblCellMar>
            <w:top w:w="0" w:type="dxa"/>
            <w:left w:w="108" w:type="dxa"/>
            <w:bottom w:w="0" w:type="dxa"/>
            <w:right w:w="108" w:type="dxa"/>
          </w:tblCellMar>
        </w:tblPrEx>
        <w:trPr>
          <w:trHeight w:val="425" w:hRule="exact"/>
        </w:trPr>
        <w:tc>
          <w:tcPr>
            <w:tcW w:w="4808"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26B789DF">
            <w:pPr>
              <w:widowControl/>
              <w:spacing w:line="360" w:lineRule="auto"/>
              <w:jc w:val="left"/>
              <w:rPr>
                <w:rFonts w:ascii="宋体" w:hAnsi="宋体" w:cs="宋体"/>
                <w:kern w:val="0"/>
                <w:szCs w:val="21"/>
              </w:rPr>
            </w:pPr>
            <w:r>
              <w:rPr>
                <w:rFonts w:hint="eastAsia" w:ascii="宋体" w:hAnsi="宋体" w:cs="宋体"/>
                <w:kern w:val="0"/>
                <w:szCs w:val="21"/>
              </w:rPr>
              <w:t>制造单位：</w:t>
            </w:r>
          </w:p>
        </w:tc>
        <w:tc>
          <w:tcPr>
            <w:tcW w:w="4202"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3A6215D4">
            <w:pPr>
              <w:widowControl/>
              <w:spacing w:line="360" w:lineRule="auto"/>
              <w:jc w:val="left"/>
              <w:rPr>
                <w:rFonts w:ascii="宋体" w:hAnsi="宋体" w:cs="宋体"/>
                <w:kern w:val="0"/>
                <w:szCs w:val="21"/>
              </w:rPr>
            </w:pPr>
            <w:r>
              <w:rPr>
                <w:rFonts w:hint="eastAsia" w:ascii="宋体" w:hAnsi="宋体" w:cs="宋体"/>
                <w:kern w:val="0"/>
                <w:szCs w:val="21"/>
              </w:rPr>
              <w:t>出厂编号：</w:t>
            </w:r>
          </w:p>
        </w:tc>
      </w:tr>
      <w:tr w14:paraId="7F66A75F">
        <w:tblPrEx>
          <w:tblCellMar>
            <w:top w:w="0" w:type="dxa"/>
            <w:left w:w="108" w:type="dxa"/>
            <w:bottom w:w="0" w:type="dxa"/>
            <w:right w:w="108" w:type="dxa"/>
          </w:tblCellMar>
        </w:tblPrEx>
        <w:trPr>
          <w:trHeight w:val="425" w:hRule="exact"/>
        </w:trPr>
        <w:tc>
          <w:tcPr>
            <w:tcW w:w="4808"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42050B8B">
            <w:pPr>
              <w:widowControl/>
              <w:spacing w:line="360" w:lineRule="auto"/>
              <w:jc w:val="left"/>
              <w:rPr>
                <w:rFonts w:ascii="宋体" w:hAnsi="宋体" w:cs="宋体"/>
                <w:kern w:val="0"/>
                <w:szCs w:val="21"/>
              </w:rPr>
            </w:pPr>
            <w:r>
              <w:rPr>
                <w:rFonts w:hint="eastAsia" w:ascii="宋体" w:hAnsi="宋体" w:cs="宋体"/>
                <w:kern w:val="0"/>
                <w:szCs w:val="21"/>
              </w:rPr>
              <w:t>校准地点：</w:t>
            </w:r>
          </w:p>
        </w:tc>
        <w:tc>
          <w:tcPr>
            <w:tcW w:w="2080"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03F7B212">
            <w:pPr>
              <w:widowControl/>
              <w:spacing w:line="360" w:lineRule="auto"/>
              <w:jc w:val="left"/>
              <w:rPr>
                <w:rFonts w:ascii="宋体" w:hAnsi="宋体" w:cs="宋体"/>
                <w:kern w:val="0"/>
                <w:szCs w:val="21"/>
              </w:rPr>
            </w:pPr>
            <w:r>
              <w:rPr>
                <w:rFonts w:hint="eastAsia" w:ascii="宋体" w:hAnsi="宋体" w:cs="宋体"/>
                <w:kern w:val="0"/>
                <w:szCs w:val="21"/>
              </w:rPr>
              <w:t>环境温度：     ℃</w:t>
            </w:r>
          </w:p>
        </w:tc>
        <w:tc>
          <w:tcPr>
            <w:tcW w:w="212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19133FD6">
            <w:pPr>
              <w:widowControl/>
              <w:spacing w:line="360" w:lineRule="auto"/>
              <w:jc w:val="left"/>
              <w:rPr>
                <w:rFonts w:ascii="宋体" w:hAnsi="宋体" w:cs="宋体"/>
                <w:kern w:val="0"/>
                <w:szCs w:val="21"/>
              </w:rPr>
            </w:pPr>
            <w:r>
              <w:rPr>
                <w:rFonts w:hint="eastAsia" w:ascii="宋体" w:hAnsi="宋体" w:cs="宋体"/>
                <w:kern w:val="0"/>
                <w:szCs w:val="21"/>
              </w:rPr>
              <w:t>相对湿度：     %</w:t>
            </w:r>
          </w:p>
        </w:tc>
      </w:tr>
      <w:tr w14:paraId="3DBA43EE">
        <w:tblPrEx>
          <w:tblCellMar>
            <w:top w:w="0" w:type="dxa"/>
            <w:left w:w="108" w:type="dxa"/>
            <w:bottom w:w="0" w:type="dxa"/>
            <w:right w:w="108" w:type="dxa"/>
          </w:tblCellMar>
        </w:tblPrEx>
        <w:trPr>
          <w:trHeight w:val="340" w:hRule="exact"/>
        </w:trPr>
        <w:tc>
          <w:tcPr>
            <w:tcW w:w="9010" w:type="dxa"/>
            <w:gridSpan w:val="21"/>
            <w:tcBorders>
              <w:top w:val="single" w:color="auto" w:sz="4" w:space="0"/>
              <w:left w:val="nil"/>
              <w:bottom w:val="single" w:color="auto" w:sz="4" w:space="0"/>
              <w:right w:val="nil"/>
            </w:tcBorders>
            <w:shd w:val="clear" w:color="auto" w:fill="auto"/>
            <w:noWrap/>
            <w:vAlign w:val="center"/>
          </w:tcPr>
          <w:p w14:paraId="6B4FA25E">
            <w:pPr>
              <w:widowControl/>
              <w:jc w:val="left"/>
              <w:rPr>
                <w:rFonts w:ascii="宋体" w:hAnsi="宋体" w:cs="宋体"/>
                <w:kern w:val="0"/>
                <w:szCs w:val="21"/>
              </w:rPr>
            </w:pPr>
            <w:r>
              <w:rPr>
                <w:rFonts w:hint="eastAsia" w:ascii="宋体" w:hAnsi="宋体" w:cs="宋体"/>
                <w:kern w:val="0"/>
                <w:szCs w:val="21"/>
              </w:rPr>
              <w:t>校准用主要计量标准器具：</w:t>
            </w:r>
          </w:p>
        </w:tc>
      </w:tr>
      <w:tr w14:paraId="112EA3C2">
        <w:tblPrEx>
          <w:tblCellMar>
            <w:top w:w="0" w:type="dxa"/>
            <w:left w:w="108" w:type="dxa"/>
            <w:bottom w:w="0" w:type="dxa"/>
            <w:right w:w="108" w:type="dxa"/>
          </w:tblCellMar>
        </w:tblPrEx>
        <w:trPr>
          <w:trHeight w:val="705" w:hRule="exact"/>
        </w:trPr>
        <w:tc>
          <w:tcPr>
            <w:tcW w:w="149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3E5B7FA">
            <w:pPr>
              <w:widowControl/>
              <w:spacing w:line="360" w:lineRule="auto"/>
              <w:jc w:val="center"/>
              <w:rPr>
                <w:rFonts w:ascii="宋体" w:hAnsi="宋体" w:cs="宋体"/>
                <w:kern w:val="0"/>
                <w:szCs w:val="21"/>
              </w:rPr>
            </w:pPr>
            <w:r>
              <w:rPr>
                <w:rFonts w:hint="eastAsia" w:ascii="宋体" w:hAnsi="宋体" w:cs="宋体"/>
                <w:kern w:val="0"/>
                <w:szCs w:val="21"/>
              </w:rPr>
              <w:t>名称</w:t>
            </w:r>
          </w:p>
        </w:tc>
        <w:tc>
          <w:tcPr>
            <w:tcW w:w="1210" w:type="dxa"/>
            <w:gridSpan w:val="3"/>
            <w:tcBorders>
              <w:top w:val="single" w:color="auto" w:sz="4" w:space="0"/>
              <w:left w:val="nil"/>
              <w:bottom w:val="single" w:color="auto" w:sz="4" w:space="0"/>
              <w:right w:val="single" w:color="auto" w:sz="4" w:space="0"/>
            </w:tcBorders>
            <w:shd w:val="clear" w:color="auto" w:fill="auto"/>
            <w:noWrap/>
            <w:vAlign w:val="center"/>
          </w:tcPr>
          <w:p w14:paraId="4C4C7F44">
            <w:pPr>
              <w:widowControl/>
              <w:spacing w:line="360" w:lineRule="auto"/>
              <w:jc w:val="center"/>
              <w:rPr>
                <w:rFonts w:ascii="宋体" w:hAnsi="宋体" w:cs="宋体"/>
                <w:kern w:val="0"/>
                <w:szCs w:val="21"/>
              </w:rPr>
            </w:pPr>
            <w:r>
              <w:rPr>
                <w:rFonts w:hint="eastAsia" w:ascii="宋体" w:hAnsi="宋体" w:cs="宋体"/>
                <w:kern w:val="0"/>
                <w:szCs w:val="21"/>
              </w:rPr>
              <w:t>型号规格</w:t>
            </w:r>
          </w:p>
        </w:tc>
        <w:tc>
          <w:tcPr>
            <w:tcW w:w="2041" w:type="dxa"/>
            <w:gridSpan w:val="5"/>
            <w:tcBorders>
              <w:top w:val="single" w:color="auto" w:sz="4" w:space="0"/>
              <w:left w:val="nil"/>
              <w:bottom w:val="single" w:color="auto" w:sz="4" w:space="0"/>
              <w:right w:val="single" w:color="auto" w:sz="4" w:space="0"/>
            </w:tcBorders>
            <w:shd w:val="clear" w:color="auto" w:fill="auto"/>
            <w:vAlign w:val="center"/>
          </w:tcPr>
          <w:p w14:paraId="4898E726">
            <w:pPr>
              <w:widowControl/>
              <w:jc w:val="center"/>
              <w:rPr>
                <w:rFonts w:ascii="宋体" w:hAnsi="宋体" w:cs="宋体"/>
                <w:kern w:val="0"/>
                <w:szCs w:val="21"/>
              </w:rPr>
            </w:pPr>
            <w:r>
              <w:rPr>
                <w:rFonts w:hint="eastAsia" w:ascii="宋体" w:hAnsi="宋体" w:cs="宋体"/>
                <w:kern w:val="0"/>
                <w:szCs w:val="21"/>
              </w:rPr>
              <w:t>不确定度/准确度等级/最大允许误差</w:t>
            </w:r>
          </w:p>
        </w:tc>
        <w:tc>
          <w:tcPr>
            <w:tcW w:w="1410" w:type="dxa"/>
            <w:gridSpan w:val="5"/>
            <w:tcBorders>
              <w:top w:val="single" w:color="auto" w:sz="4" w:space="0"/>
              <w:left w:val="nil"/>
              <w:bottom w:val="single" w:color="auto" w:sz="4" w:space="0"/>
              <w:right w:val="single" w:color="auto" w:sz="4" w:space="0"/>
            </w:tcBorders>
            <w:shd w:val="clear" w:color="auto" w:fill="auto"/>
            <w:noWrap/>
            <w:vAlign w:val="center"/>
          </w:tcPr>
          <w:p w14:paraId="4756CDED">
            <w:pPr>
              <w:widowControl/>
              <w:spacing w:line="360" w:lineRule="auto"/>
              <w:jc w:val="center"/>
              <w:rPr>
                <w:rFonts w:ascii="宋体" w:hAnsi="宋体" w:cs="宋体"/>
                <w:kern w:val="0"/>
                <w:szCs w:val="21"/>
              </w:rPr>
            </w:pPr>
            <w:r>
              <w:rPr>
                <w:rFonts w:hint="eastAsia" w:ascii="宋体" w:hAnsi="宋体" w:cs="宋体"/>
                <w:kern w:val="0"/>
                <w:szCs w:val="21"/>
              </w:rPr>
              <w:t>出厂编号</w:t>
            </w:r>
          </w:p>
        </w:tc>
        <w:tc>
          <w:tcPr>
            <w:tcW w:w="1395" w:type="dxa"/>
            <w:gridSpan w:val="3"/>
            <w:tcBorders>
              <w:top w:val="single" w:color="auto" w:sz="4" w:space="0"/>
              <w:left w:val="nil"/>
              <w:bottom w:val="single" w:color="auto" w:sz="4" w:space="0"/>
              <w:right w:val="single" w:color="auto" w:sz="4" w:space="0"/>
            </w:tcBorders>
            <w:shd w:val="clear" w:color="auto" w:fill="auto"/>
            <w:noWrap/>
            <w:vAlign w:val="center"/>
          </w:tcPr>
          <w:p w14:paraId="17448F0D">
            <w:pPr>
              <w:widowControl/>
              <w:spacing w:line="360" w:lineRule="auto"/>
              <w:jc w:val="center"/>
              <w:rPr>
                <w:rFonts w:ascii="宋体" w:hAnsi="宋体" w:cs="宋体"/>
                <w:kern w:val="0"/>
                <w:szCs w:val="21"/>
              </w:rPr>
            </w:pPr>
            <w:r>
              <w:rPr>
                <w:rFonts w:hint="eastAsia" w:ascii="宋体" w:hAnsi="宋体" w:cs="宋体"/>
                <w:kern w:val="0"/>
                <w:szCs w:val="21"/>
              </w:rPr>
              <w:t>证书编号</w:t>
            </w:r>
          </w:p>
        </w:tc>
        <w:tc>
          <w:tcPr>
            <w:tcW w:w="1453" w:type="dxa"/>
            <w:gridSpan w:val="3"/>
            <w:tcBorders>
              <w:top w:val="single" w:color="auto" w:sz="4" w:space="0"/>
              <w:left w:val="nil"/>
              <w:bottom w:val="single" w:color="auto" w:sz="4" w:space="0"/>
              <w:right w:val="single" w:color="auto" w:sz="4" w:space="0"/>
            </w:tcBorders>
            <w:shd w:val="clear" w:color="auto" w:fill="auto"/>
            <w:noWrap/>
            <w:vAlign w:val="center"/>
          </w:tcPr>
          <w:p w14:paraId="5B71AE2D">
            <w:pPr>
              <w:widowControl/>
              <w:spacing w:line="360" w:lineRule="auto"/>
              <w:jc w:val="center"/>
              <w:rPr>
                <w:rFonts w:ascii="宋体" w:hAnsi="宋体" w:cs="宋体"/>
                <w:kern w:val="0"/>
                <w:szCs w:val="21"/>
              </w:rPr>
            </w:pPr>
            <w:r>
              <w:rPr>
                <w:rFonts w:hint="eastAsia" w:ascii="宋体" w:hAnsi="宋体" w:cs="宋体"/>
                <w:kern w:val="0"/>
                <w:szCs w:val="21"/>
              </w:rPr>
              <w:t>有效期</w:t>
            </w:r>
          </w:p>
        </w:tc>
      </w:tr>
      <w:tr w14:paraId="7AB88937">
        <w:tblPrEx>
          <w:tblCellMar>
            <w:top w:w="0" w:type="dxa"/>
            <w:left w:w="108" w:type="dxa"/>
            <w:bottom w:w="0" w:type="dxa"/>
            <w:right w:w="108" w:type="dxa"/>
          </w:tblCellMar>
        </w:tblPrEx>
        <w:trPr>
          <w:trHeight w:val="425" w:hRule="exact"/>
        </w:trPr>
        <w:tc>
          <w:tcPr>
            <w:tcW w:w="1499" w:type="dxa"/>
            <w:gridSpan w:val="2"/>
            <w:tcBorders>
              <w:top w:val="nil"/>
              <w:left w:val="single" w:color="auto" w:sz="4" w:space="0"/>
              <w:bottom w:val="single" w:color="auto" w:sz="4" w:space="0"/>
              <w:right w:val="single" w:color="auto" w:sz="4" w:space="0"/>
            </w:tcBorders>
            <w:shd w:val="clear" w:color="auto" w:fill="auto"/>
            <w:noWrap/>
            <w:vAlign w:val="center"/>
          </w:tcPr>
          <w:p w14:paraId="489E44E4">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210" w:type="dxa"/>
            <w:gridSpan w:val="3"/>
            <w:tcBorders>
              <w:top w:val="nil"/>
              <w:left w:val="nil"/>
              <w:bottom w:val="single" w:color="auto" w:sz="4" w:space="0"/>
              <w:right w:val="single" w:color="auto" w:sz="4" w:space="0"/>
            </w:tcBorders>
            <w:shd w:val="clear" w:color="auto" w:fill="auto"/>
            <w:noWrap/>
            <w:vAlign w:val="center"/>
          </w:tcPr>
          <w:p w14:paraId="282153D0">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2041" w:type="dxa"/>
            <w:gridSpan w:val="5"/>
            <w:tcBorders>
              <w:top w:val="nil"/>
              <w:left w:val="nil"/>
              <w:bottom w:val="single" w:color="auto" w:sz="4" w:space="0"/>
              <w:right w:val="single" w:color="auto" w:sz="4" w:space="0"/>
            </w:tcBorders>
            <w:shd w:val="clear" w:color="auto" w:fill="auto"/>
            <w:noWrap/>
            <w:vAlign w:val="center"/>
          </w:tcPr>
          <w:p w14:paraId="160011CE">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410" w:type="dxa"/>
            <w:gridSpan w:val="5"/>
            <w:tcBorders>
              <w:top w:val="nil"/>
              <w:left w:val="nil"/>
              <w:bottom w:val="single" w:color="auto" w:sz="4" w:space="0"/>
              <w:right w:val="single" w:color="auto" w:sz="4" w:space="0"/>
            </w:tcBorders>
            <w:shd w:val="clear" w:color="auto" w:fill="auto"/>
            <w:noWrap/>
            <w:vAlign w:val="center"/>
          </w:tcPr>
          <w:p w14:paraId="3E66ED04">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395" w:type="dxa"/>
            <w:gridSpan w:val="3"/>
            <w:tcBorders>
              <w:top w:val="nil"/>
              <w:left w:val="nil"/>
              <w:bottom w:val="single" w:color="auto" w:sz="4" w:space="0"/>
              <w:right w:val="single" w:color="auto" w:sz="4" w:space="0"/>
            </w:tcBorders>
            <w:shd w:val="clear" w:color="auto" w:fill="auto"/>
            <w:noWrap/>
            <w:vAlign w:val="center"/>
          </w:tcPr>
          <w:p w14:paraId="306CF219">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453" w:type="dxa"/>
            <w:gridSpan w:val="3"/>
            <w:tcBorders>
              <w:top w:val="nil"/>
              <w:left w:val="nil"/>
              <w:bottom w:val="single" w:color="auto" w:sz="4" w:space="0"/>
              <w:right w:val="single" w:color="auto" w:sz="4" w:space="0"/>
            </w:tcBorders>
            <w:shd w:val="clear" w:color="auto" w:fill="auto"/>
            <w:noWrap/>
            <w:vAlign w:val="center"/>
          </w:tcPr>
          <w:p w14:paraId="377EBCF9">
            <w:pPr>
              <w:widowControl/>
              <w:spacing w:line="360" w:lineRule="auto"/>
              <w:jc w:val="center"/>
              <w:rPr>
                <w:rFonts w:ascii="宋体" w:hAnsi="宋体" w:cs="宋体"/>
                <w:kern w:val="0"/>
                <w:szCs w:val="21"/>
              </w:rPr>
            </w:pPr>
            <w:r>
              <w:rPr>
                <w:rFonts w:hint="eastAsia" w:ascii="宋体" w:hAnsi="宋体" w:cs="宋体"/>
                <w:kern w:val="0"/>
                <w:szCs w:val="21"/>
              </w:rPr>
              <w:t>　</w:t>
            </w:r>
          </w:p>
        </w:tc>
      </w:tr>
      <w:tr w14:paraId="7C5BEBFD">
        <w:tblPrEx>
          <w:tblCellMar>
            <w:top w:w="0" w:type="dxa"/>
            <w:left w:w="108" w:type="dxa"/>
            <w:bottom w:w="0" w:type="dxa"/>
            <w:right w:w="108" w:type="dxa"/>
          </w:tblCellMar>
        </w:tblPrEx>
        <w:trPr>
          <w:trHeight w:val="425" w:hRule="exact"/>
        </w:trPr>
        <w:tc>
          <w:tcPr>
            <w:tcW w:w="1499" w:type="dxa"/>
            <w:gridSpan w:val="2"/>
            <w:tcBorders>
              <w:top w:val="nil"/>
              <w:left w:val="single" w:color="auto" w:sz="4" w:space="0"/>
              <w:bottom w:val="single" w:color="auto" w:sz="4" w:space="0"/>
              <w:right w:val="single" w:color="auto" w:sz="4" w:space="0"/>
            </w:tcBorders>
            <w:shd w:val="clear" w:color="auto" w:fill="auto"/>
            <w:noWrap/>
            <w:vAlign w:val="center"/>
          </w:tcPr>
          <w:p w14:paraId="5F88C558">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210" w:type="dxa"/>
            <w:gridSpan w:val="3"/>
            <w:tcBorders>
              <w:top w:val="nil"/>
              <w:left w:val="nil"/>
              <w:bottom w:val="single" w:color="auto" w:sz="4" w:space="0"/>
              <w:right w:val="single" w:color="auto" w:sz="4" w:space="0"/>
            </w:tcBorders>
            <w:shd w:val="clear" w:color="auto" w:fill="auto"/>
            <w:noWrap/>
            <w:vAlign w:val="center"/>
          </w:tcPr>
          <w:p w14:paraId="6455A8FF">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2041" w:type="dxa"/>
            <w:gridSpan w:val="5"/>
            <w:tcBorders>
              <w:top w:val="nil"/>
              <w:left w:val="nil"/>
              <w:bottom w:val="single" w:color="auto" w:sz="4" w:space="0"/>
              <w:right w:val="single" w:color="auto" w:sz="4" w:space="0"/>
            </w:tcBorders>
            <w:shd w:val="clear" w:color="auto" w:fill="auto"/>
            <w:noWrap/>
            <w:vAlign w:val="center"/>
          </w:tcPr>
          <w:p w14:paraId="48BBBF6E">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410" w:type="dxa"/>
            <w:gridSpan w:val="5"/>
            <w:tcBorders>
              <w:top w:val="nil"/>
              <w:left w:val="nil"/>
              <w:bottom w:val="single" w:color="auto" w:sz="4" w:space="0"/>
              <w:right w:val="single" w:color="auto" w:sz="4" w:space="0"/>
            </w:tcBorders>
            <w:shd w:val="clear" w:color="auto" w:fill="auto"/>
            <w:noWrap/>
            <w:vAlign w:val="center"/>
          </w:tcPr>
          <w:p w14:paraId="4DDF721E">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395" w:type="dxa"/>
            <w:gridSpan w:val="3"/>
            <w:tcBorders>
              <w:top w:val="nil"/>
              <w:left w:val="nil"/>
              <w:bottom w:val="single" w:color="auto" w:sz="4" w:space="0"/>
              <w:right w:val="single" w:color="auto" w:sz="4" w:space="0"/>
            </w:tcBorders>
            <w:shd w:val="clear" w:color="auto" w:fill="auto"/>
            <w:noWrap/>
            <w:vAlign w:val="center"/>
          </w:tcPr>
          <w:p w14:paraId="7B41233C">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453" w:type="dxa"/>
            <w:gridSpan w:val="3"/>
            <w:tcBorders>
              <w:top w:val="nil"/>
              <w:left w:val="nil"/>
              <w:bottom w:val="single" w:color="auto" w:sz="4" w:space="0"/>
              <w:right w:val="single" w:color="auto" w:sz="4" w:space="0"/>
            </w:tcBorders>
            <w:shd w:val="clear" w:color="auto" w:fill="auto"/>
            <w:noWrap/>
            <w:vAlign w:val="center"/>
          </w:tcPr>
          <w:p w14:paraId="3909C41A">
            <w:pPr>
              <w:widowControl/>
              <w:spacing w:line="360" w:lineRule="auto"/>
              <w:jc w:val="center"/>
              <w:rPr>
                <w:rFonts w:ascii="宋体" w:hAnsi="宋体" w:cs="宋体"/>
                <w:kern w:val="0"/>
                <w:szCs w:val="21"/>
              </w:rPr>
            </w:pPr>
            <w:r>
              <w:rPr>
                <w:rFonts w:hint="eastAsia" w:ascii="宋体" w:hAnsi="宋体" w:cs="宋体"/>
                <w:kern w:val="0"/>
                <w:szCs w:val="21"/>
              </w:rPr>
              <w:t>　</w:t>
            </w:r>
          </w:p>
        </w:tc>
      </w:tr>
      <w:tr w14:paraId="5DDDB5E2">
        <w:tblPrEx>
          <w:tblCellMar>
            <w:top w:w="0" w:type="dxa"/>
            <w:left w:w="108" w:type="dxa"/>
            <w:bottom w:w="0" w:type="dxa"/>
            <w:right w:w="108" w:type="dxa"/>
          </w:tblCellMar>
        </w:tblPrEx>
        <w:trPr>
          <w:trHeight w:val="425" w:hRule="exact"/>
        </w:trPr>
        <w:tc>
          <w:tcPr>
            <w:tcW w:w="149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BD151C3">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21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86FD31E">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204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71482BB4">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41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7197078">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39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C590D37">
            <w:pPr>
              <w:widowControl/>
              <w:spacing w:line="360" w:lineRule="auto"/>
              <w:jc w:val="center"/>
              <w:rPr>
                <w:rFonts w:ascii="宋体" w:hAnsi="宋体" w:cs="宋体"/>
                <w:kern w:val="0"/>
                <w:szCs w:val="21"/>
              </w:rPr>
            </w:pPr>
            <w:r>
              <w:rPr>
                <w:rFonts w:hint="eastAsia" w:ascii="宋体" w:hAnsi="宋体" w:cs="宋体"/>
                <w:kern w:val="0"/>
                <w:szCs w:val="21"/>
              </w:rPr>
              <w:t>　</w:t>
            </w:r>
          </w:p>
        </w:tc>
        <w:tc>
          <w:tcPr>
            <w:tcW w:w="145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493E6B3">
            <w:pPr>
              <w:widowControl/>
              <w:spacing w:line="360" w:lineRule="auto"/>
              <w:jc w:val="center"/>
              <w:rPr>
                <w:rFonts w:ascii="宋体" w:hAnsi="宋体" w:cs="宋体"/>
                <w:kern w:val="0"/>
                <w:szCs w:val="21"/>
              </w:rPr>
            </w:pPr>
            <w:r>
              <w:rPr>
                <w:rFonts w:hint="eastAsia" w:ascii="宋体" w:hAnsi="宋体" w:cs="宋体"/>
                <w:kern w:val="0"/>
                <w:szCs w:val="21"/>
              </w:rPr>
              <w:t>　</w:t>
            </w:r>
          </w:p>
        </w:tc>
      </w:tr>
      <w:tr w14:paraId="7C7ABD51">
        <w:tblPrEx>
          <w:tblCellMar>
            <w:top w:w="0" w:type="dxa"/>
            <w:left w:w="108" w:type="dxa"/>
            <w:bottom w:w="0" w:type="dxa"/>
            <w:right w:w="108" w:type="dxa"/>
          </w:tblCellMar>
        </w:tblPrEx>
        <w:trPr>
          <w:trHeight w:val="340" w:hRule="exact"/>
        </w:trPr>
        <w:tc>
          <w:tcPr>
            <w:tcW w:w="9008" w:type="dxa"/>
            <w:gridSpan w:val="21"/>
            <w:tcBorders>
              <w:top w:val="single" w:color="auto" w:sz="4" w:space="0"/>
              <w:left w:val="nil"/>
              <w:bottom w:val="single" w:color="auto" w:sz="4" w:space="0"/>
              <w:right w:val="nil"/>
            </w:tcBorders>
            <w:shd w:val="clear" w:color="auto" w:fill="auto"/>
            <w:noWrap/>
            <w:vAlign w:val="center"/>
          </w:tcPr>
          <w:p w14:paraId="7AEFEBD1">
            <w:pPr>
              <w:widowControl/>
              <w:jc w:val="left"/>
              <w:rPr>
                <w:rFonts w:ascii="宋体" w:hAnsi="宋体" w:cs="宋体"/>
                <w:kern w:val="0"/>
                <w:szCs w:val="21"/>
              </w:rPr>
            </w:pPr>
            <w:r>
              <w:rPr>
                <w:rFonts w:hint="eastAsia" w:ascii="宋体" w:hAnsi="宋体" w:cs="宋体"/>
                <w:kern w:val="0"/>
                <w:szCs w:val="21"/>
              </w:rPr>
              <w:t>校准条件：</w:t>
            </w:r>
          </w:p>
        </w:tc>
      </w:tr>
      <w:tr w14:paraId="697C9E5D">
        <w:tblPrEx>
          <w:tblCellMar>
            <w:top w:w="0" w:type="dxa"/>
            <w:left w:w="108" w:type="dxa"/>
            <w:bottom w:w="0" w:type="dxa"/>
            <w:right w:w="108" w:type="dxa"/>
          </w:tblCellMar>
        </w:tblPrEx>
        <w:trPr>
          <w:gridAfter w:val="1"/>
          <w:wAfter w:w="14" w:type="dxa"/>
          <w:trHeight w:val="425" w:hRule="exact"/>
        </w:trPr>
        <w:tc>
          <w:tcPr>
            <w:tcW w:w="19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07C1EAA">
            <w:pPr>
              <w:widowControl/>
              <w:spacing w:line="360" w:lineRule="auto"/>
              <w:jc w:val="center"/>
              <w:rPr>
                <w:rFonts w:hint="eastAsia" w:ascii="Cambria Math" w:hAnsi="Cambria Math" w:cs="宋体"/>
                <w:kern w:val="0"/>
                <w:sz w:val="18"/>
                <w:szCs w:val="18"/>
                <w:oMath/>
              </w:rPr>
            </w:pPr>
            <w:r>
              <w:rPr>
                <w:rFonts w:hint="eastAsia" w:ascii="宋体" w:hAnsi="宋体" w:cs="宋体"/>
                <w:kern w:val="0"/>
                <w:sz w:val="18"/>
                <w:szCs w:val="18"/>
              </w:rPr>
              <w:t>功率因数</w:t>
            </w:r>
          </w:p>
        </w:tc>
        <w:tc>
          <w:tcPr>
            <w:tcW w:w="197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B371B02">
            <w:pPr>
              <w:widowControl/>
              <w:spacing w:line="360" w:lineRule="auto"/>
              <w:jc w:val="center"/>
              <w:rPr>
                <w:rFonts w:hint="eastAsia" w:ascii="Cambria Math" w:hAnsi="Cambria Math" w:cs="宋体"/>
                <w:kern w:val="0"/>
                <w:sz w:val="18"/>
                <w:szCs w:val="18"/>
                <w:oMath/>
              </w:rPr>
            </w:pPr>
            <w:r>
              <w:rPr>
                <w:rFonts w:hint="eastAsia" w:ascii="宋体" w:hAnsi="宋体" w:cs="宋体"/>
                <w:kern w:val="0"/>
                <w:sz w:val="18"/>
                <w:szCs w:val="18"/>
              </w:rPr>
              <w:t>电压比</w:t>
            </w:r>
          </w:p>
        </w:tc>
        <w:tc>
          <w:tcPr>
            <w:tcW w:w="197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B4C10B0">
            <w:pPr>
              <w:widowControl/>
              <w:spacing w:line="360" w:lineRule="auto"/>
              <w:jc w:val="center"/>
              <w:rPr>
                <w:rFonts w:hint="eastAsia" w:ascii="Cambria Math" w:hAnsi="Cambria Math" w:cs="宋体"/>
                <w:kern w:val="0"/>
                <w:sz w:val="18"/>
                <w:szCs w:val="18"/>
                <w:oMath/>
              </w:rPr>
            </w:pPr>
            <w:r>
              <w:rPr>
                <w:rFonts w:hint="eastAsia" w:ascii="宋体" w:hAnsi="宋体" w:cs="宋体"/>
                <w:kern w:val="0"/>
                <w:sz w:val="18"/>
                <w:szCs w:val="18"/>
              </w:rPr>
              <w:t>电流比</w:t>
            </w:r>
          </w:p>
        </w:tc>
        <w:tc>
          <w:tcPr>
            <w:tcW w:w="3061"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14:paraId="1A1F1804">
            <w:pPr>
              <w:widowControl/>
              <w:spacing w:line="360" w:lineRule="auto"/>
              <w:jc w:val="center"/>
              <w:rPr>
                <w:rFonts w:ascii="宋体" w:hAnsi="宋体" w:cs="宋体"/>
                <w:kern w:val="0"/>
                <w:sz w:val="18"/>
                <w:szCs w:val="18"/>
              </w:rPr>
            </w:pPr>
            <w:r>
              <w:rPr>
                <w:rFonts w:hint="eastAsia" w:ascii="宋体" w:hAnsi="宋体" w:cs="宋体"/>
                <w:kern w:val="0"/>
                <w:sz w:val="18"/>
                <w:szCs w:val="18"/>
              </w:rPr>
              <w:t>备注</w:t>
            </w:r>
          </w:p>
        </w:tc>
      </w:tr>
      <w:tr w14:paraId="56845C48">
        <w:tblPrEx>
          <w:tblCellMar>
            <w:top w:w="0" w:type="dxa"/>
            <w:left w:w="108" w:type="dxa"/>
            <w:bottom w:w="0" w:type="dxa"/>
            <w:right w:w="108" w:type="dxa"/>
          </w:tblCellMar>
        </w:tblPrEx>
        <w:trPr>
          <w:gridAfter w:val="1"/>
          <w:wAfter w:w="14" w:type="dxa"/>
          <w:trHeight w:val="425" w:hRule="exact"/>
        </w:trPr>
        <w:tc>
          <w:tcPr>
            <w:tcW w:w="197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EDD0A0D">
            <w:pPr>
              <w:widowControl/>
              <w:spacing w:line="360" w:lineRule="auto"/>
              <w:jc w:val="center"/>
              <w:rPr>
                <w:rFonts w:ascii="宋体" w:hAnsi="宋体" w:cs="宋体"/>
                <w:kern w:val="0"/>
                <w:szCs w:val="21"/>
              </w:rPr>
            </w:pPr>
          </w:p>
        </w:tc>
        <w:tc>
          <w:tcPr>
            <w:tcW w:w="197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0CA5C94">
            <w:pPr>
              <w:widowControl/>
              <w:spacing w:line="360" w:lineRule="auto"/>
              <w:jc w:val="center"/>
              <w:rPr>
                <w:rFonts w:ascii="宋体" w:hAnsi="宋体" w:cs="宋体"/>
                <w:kern w:val="0"/>
                <w:szCs w:val="21"/>
              </w:rPr>
            </w:pPr>
          </w:p>
        </w:tc>
        <w:tc>
          <w:tcPr>
            <w:tcW w:w="197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39104E9D">
            <w:pPr>
              <w:widowControl/>
              <w:spacing w:line="360" w:lineRule="auto"/>
              <w:jc w:val="center"/>
              <w:rPr>
                <w:rFonts w:ascii="宋体" w:hAnsi="宋体" w:cs="宋体"/>
                <w:kern w:val="0"/>
                <w:szCs w:val="21"/>
              </w:rPr>
            </w:pPr>
          </w:p>
        </w:tc>
        <w:tc>
          <w:tcPr>
            <w:tcW w:w="3061"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14:paraId="71707730">
            <w:pPr>
              <w:widowControl/>
              <w:spacing w:line="360" w:lineRule="auto"/>
              <w:jc w:val="center"/>
              <w:rPr>
                <w:rFonts w:ascii="宋体" w:hAnsi="宋体" w:cs="宋体"/>
                <w:kern w:val="0"/>
                <w:szCs w:val="21"/>
              </w:rPr>
            </w:pPr>
          </w:p>
        </w:tc>
      </w:tr>
      <w:tr w14:paraId="5D681E7A">
        <w:tblPrEx>
          <w:tblCellMar>
            <w:top w:w="0" w:type="dxa"/>
            <w:left w:w="108" w:type="dxa"/>
            <w:bottom w:w="0" w:type="dxa"/>
            <w:right w:w="108" w:type="dxa"/>
          </w:tblCellMar>
        </w:tblPrEx>
        <w:trPr>
          <w:gridAfter w:val="1"/>
          <w:wAfter w:w="14" w:type="dxa"/>
          <w:trHeight w:val="397" w:hRule="exact"/>
        </w:trPr>
        <w:tc>
          <w:tcPr>
            <w:tcW w:w="8996" w:type="dxa"/>
            <w:gridSpan w:val="20"/>
            <w:tcBorders>
              <w:top w:val="single" w:color="auto" w:sz="4" w:space="0"/>
              <w:left w:val="nil"/>
              <w:bottom w:val="single" w:color="auto" w:sz="4" w:space="0"/>
              <w:right w:val="nil"/>
            </w:tcBorders>
            <w:shd w:val="clear" w:color="auto" w:fill="auto"/>
            <w:noWrap/>
            <w:vAlign w:val="center"/>
          </w:tcPr>
          <w:p w14:paraId="2A4E4C1C">
            <w:pPr>
              <w:widowControl/>
              <w:jc w:val="left"/>
              <w:rPr>
                <w:rFonts w:ascii="宋体" w:hAnsi="宋体" w:cs="宋体"/>
                <w:kern w:val="0"/>
                <w:szCs w:val="21"/>
              </w:rPr>
            </w:pPr>
            <w:r>
              <w:rPr>
                <w:rFonts w:hint="eastAsia" w:ascii="宋体" w:hAnsi="宋体" w:cs="宋体"/>
                <w:kern w:val="0"/>
                <w:szCs w:val="21"/>
                <w:u w:val="single"/>
              </w:rPr>
              <w:t xml:space="preserve">           </w:t>
            </w:r>
            <w:r>
              <w:rPr>
                <w:rFonts w:hint="eastAsia" w:ascii="宋体" w:hAnsi="宋体" w:cs="宋体"/>
                <w:kern w:val="0"/>
                <w:szCs w:val="21"/>
              </w:rPr>
              <w:t>相对误差：</w:t>
            </w:r>
          </w:p>
        </w:tc>
      </w:tr>
      <w:tr w14:paraId="494FBCA0">
        <w:tblPrEx>
          <w:tblCellMar>
            <w:top w:w="0" w:type="dxa"/>
            <w:left w:w="108" w:type="dxa"/>
            <w:bottom w:w="0" w:type="dxa"/>
            <w:right w:w="108" w:type="dxa"/>
          </w:tblCellMar>
        </w:tblPrEx>
        <w:trPr>
          <w:gridAfter w:val="1"/>
          <w:wAfter w:w="14" w:type="dxa"/>
          <w:trHeight w:val="425" w:hRule="exact"/>
        </w:trPr>
        <w:tc>
          <w:tcPr>
            <w:tcW w:w="109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361493A">
            <w:pPr>
              <w:widowControl/>
              <w:spacing w:line="360" w:lineRule="auto"/>
              <w:jc w:val="center"/>
              <w:rPr>
                <w:rFonts w:ascii="宋体" w:hAnsi="宋体" w:cs="宋体"/>
                <w:kern w:val="0"/>
                <w:szCs w:val="21"/>
              </w:rPr>
            </w:pPr>
            <w:r>
              <w:rPr>
                <w:rFonts w:hint="eastAsia" w:ascii="宋体" w:hAnsi="宋体" w:cs="宋体"/>
                <w:kern w:val="0"/>
                <w:szCs w:val="21"/>
              </w:rPr>
              <w:t>序号</w:t>
            </w:r>
          </w:p>
        </w:tc>
        <w:tc>
          <w:tcPr>
            <w:tcW w:w="2539"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723DF301">
            <w:pPr>
              <w:widowControl/>
              <w:spacing w:line="360" w:lineRule="auto"/>
              <w:jc w:val="center"/>
              <w:rPr>
                <w:rFonts w:ascii="宋体" w:hAnsi="宋体" w:cs="宋体"/>
                <w:kern w:val="0"/>
                <w:szCs w:val="21"/>
              </w:rPr>
            </w:pPr>
            <w:r>
              <w:rPr>
                <w:rFonts w:hint="eastAsia" w:ascii="宋体" w:hAnsi="宋体" w:cs="宋体"/>
                <w:kern w:val="0"/>
                <w:szCs w:val="21"/>
              </w:rPr>
              <w:t>校准点1</w:t>
            </w:r>
          </w:p>
        </w:tc>
        <w:tc>
          <w:tcPr>
            <w:tcW w:w="2680"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14:paraId="013300BC">
            <w:pPr>
              <w:widowControl/>
              <w:spacing w:line="360" w:lineRule="auto"/>
              <w:jc w:val="center"/>
              <w:rPr>
                <w:rFonts w:ascii="宋体" w:hAnsi="宋体" w:cs="宋体"/>
                <w:kern w:val="0"/>
                <w:szCs w:val="21"/>
              </w:rPr>
            </w:pPr>
            <w:r>
              <w:rPr>
                <w:rFonts w:hint="eastAsia" w:ascii="宋体" w:hAnsi="宋体" w:cs="宋体"/>
                <w:kern w:val="0"/>
                <w:szCs w:val="21"/>
              </w:rPr>
              <w:t>校准点2</w:t>
            </w:r>
          </w:p>
        </w:tc>
        <w:tc>
          <w:tcPr>
            <w:tcW w:w="268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70EFB46">
            <w:pPr>
              <w:widowControl/>
              <w:spacing w:line="360" w:lineRule="auto"/>
              <w:jc w:val="center"/>
              <w:rPr>
                <w:rFonts w:ascii="宋体" w:hAnsi="宋体" w:cs="宋体"/>
                <w:kern w:val="0"/>
                <w:szCs w:val="21"/>
              </w:rPr>
            </w:pPr>
            <w:r>
              <w:rPr>
                <w:rFonts w:hint="eastAsia" w:ascii="宋体" w:hAnsi="宋体" w:cs="宋体"/>
                <w:kern w:val="0"/>
                <w:szCs w:val="21"/>
              </w:rPr>
              <w:t>校准点3</w:t>
            </w:r>
          </w:p>
        </w:tc>
      </w:tr>
      <w:tr w14:paraId="42FD13E7">
        <w:tblPrEx>
          <w:tblCellMar>
            <w:top w:w="0" w:type="dxa"/>
            <w:left w:w="108" w:type="dxa"/>
            <w:bottom w:w="0" w:type="dxa"/>
            <w:right w:w="108" w:type="dxa"/>
          </w:tblCellMar>
        </w:tblPrEx>
        <w:trPr>
          <w:gridAfter w:val="1"/>
          <w:wAfter w:w="14" w:type="dxa"/>
          <w:trHeight w:val="425" w:hRule="exact"/>
        </w:trPr>
        <w:tc>
          <w:tcPr>
            <w:tcW w:w="1096"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6EEECA6">
            <w:pPr>
              <w:widowControl/>
              <w:spacing w:line="360" w:lineRule="auto"/>
              <w:jc w:val="center"/>
              <w:rPr>
                <w:rFonts w:ascii="宋体" w:hAnsi="宋体" w:cs="宋体"/>
                <w:kern w:val="0"/>
                <w:szCs w:val="21"/>
              </w:rPr>
            </w:pP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14:paraId="71677BD6">
            <w:pPr>
              <w:widowControl/>
              <w:spacing w:line="360" w:lineRule="auto"/>
              <w:jc w:val="center"/>
              <w:rPr>
                <w:rFonts w:ascii="宋体" w:hAnsi="宋体" w:cs="宋体"/>
                <w:kern w:val="0"/>
                <w:szCs w:val="21"/>
              </w:rPr>
            </w:pPr>
            <w:r>
              <w:rPr>
                <w:rFonts w:hint="eastAsia" w:ascii="宋体" w:hAnsi="宋体" w:cs="宋体"/>
                <w:kern w:val="0"/>
                <w:szCs w:val="21"/>
              </w:rPr>
              <w:t>标准值(   )</w:t>
            </w: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14:paraId="30DA165F">
            <w:pPr>
              <w:widowControl/>
              <w:spacing w:line="360" w:lineRule="auto"/>
              <w:jc w:val="center"/>
              <w:rPr>
                <w:rFonts w:ascii="宋体" w:hAnsi="宋体" w:cs="宋体"/>
                <w:kern w:val="0"/>
                <w:szCs w:val="21"/>
              </w:rPr>
            </w:pPr>
            <w:r>
              <w:rPr>
                <w:rFonts w:hint="eastAsia" w:ascii="宋体" w:hAnsi="宋体" w:cs="宋体"/>
                <w:kern w:val="0"/>
                <w:szCs w:val="21"/>
              </w:rPr>
              <w:t>显示值(    )</w:t>
            </w: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14:paraId="3E4BF4DD">
            <w:pPr>
              <w:widowControl/>
              <w:spacing w:line="360" w:lineRule="auto"/>
              <w:jc w:val="center"/>
              <w:rPr>
                <w:rFonts w:ascii="宋体" w:hAnsi="宋体" w:cs="宋体"/>
                <w:kern w:val="0"/>
                <w:szCs w:val="21"/>
              </w:rPr>
            </w:pPr>
            <w:r>
              <w:rPr>
                <w:rFonts w:hint="eastAsia" w:ascii="宋体" w:hAnsi="宋体" w:cs="宋体"/>
                <w:kern w:val="0"/>
                <w:szCs w:val="21"/>
              </w:rPr>
              <w:t>标准值(   )</w:t>
            </w: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14:paraId="70BBDDA5">
            <w:pPr>
              <w:widowControl/>
              <w:spacing w:line="360" w:lineRule="auto"/>
              <w:jc w:val="center"/>
              <w:rPr>
                <w:rFonts w:ascii="宋体" w:hAnsi="宋体" w:cs="宋体"/>
                <w:kern w:val="0"/>
                <w:szCs w:val="21"/>
              </w:rPr>
            </w:pPr>
            <w:r>
              <w:rPr>
                <w:rFonts w:hint="eastAsia" w:ascii="宋体" w:hAnsi="宋体" w:cs="宋体"/>
                <w:kern w:val="0"/>
                <w:szCs w:val="21"/>
              </w:rPr>
              <w:t>显示值(    )</w:t>
            </w: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14:paraId="6D827CB8">
            <w:pPr>
              <w:widowControl/>
              <w:spacing w:line="360" w:lineRule="auto"/>
              <w:jc w:val="center"/>
              <w:rPr>
                <w:rFonts w:ascii="宋体" w:hAnsi="宋体" w:cs="宋体"/>
                <w:kern w:val="0"/>
                <w:szCs w:val="21"/>
              </w:rPr>
            </w:pPr>
            <w:r>
              <w:rPr>
                <w:rFonts w:hint="eastAsia" w:ascii="宋体" w:hAnsi="宋体" w:cs="宋体"/>
                <w:kern w:val="0"/>
                <w:szCs w:val="21"/>
              </w:rPr>
              <w:t>标准值(   )</w:t>
            </w:r>
          </w:p>
        </w:tc>
        <w:tc>
          <w:tcPr>
            <w:tcW w:w="1341" w:type="dxa"/>
            <w:tcBorders>
              <w:top w:val="single" w:color="auto" w:sz="4" w:space="0"/>
              <w:left w:val="single" w:color="auto" w:sz="4" w:space="0"/>
              <w:bottom w:val="single" w:color="auto" w:sz="4" w:space="0"/>
              <w:right w:val="single" w:color="auto" w:sz="4" w:space="0"/>
            </w:tcBorders>
            <w:shd w:val="clear" w:color="auto" w:fill="auto"/>
            <w:noWrap/>
            <w:tcMar>
              <w:top w:w="0" w:type="dxa"/>
              <w:left w:w="0" w:type="dxa"/>
              <w:bottom w:w="0" w:type="dxa"/>
              <w:right w:w="0" w:type="dxa"/>
            </w:tcMar>
            <w:vAlign w:val="center"/>
          </w:tcPr>
          <w:p w14:paraId="529ED9D4">
            <w:pPr>
              <w:widowControl/>
              <w:spacing w:line="360" w:lineRule="auto"/>
              <w:jc w:val="center"/>
              <w:rPr>
                <w:rFonts w:ascii="宋体" w:hAnsi="宋体" w:cs="宋体"/>
                <w:kern w:val="0"/>
                <w:szCs w:val="21"/>
              </w:rPr>
            </w:pPr>
            <w:r>
              <w:rPr>
                <w:rFonts w:hint="eastAsia" w:ascii="宋体" w:hAnsi="宋体" w:cs="宋体"/>
                <w:kern w:val="0"/>
                <w:szCs w:val="21"/>
              </w:rPr>
              <w:t>显示值(    )</w:t>
            </w:r>
          </w:p>
        </w:tc>
      </w:tr>
      <w:tr w14:paraId="7CD0DB61">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6EBBBCF9">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EC733FD">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367BB88">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1A0E549">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61DA60EB">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3C06213">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0C0FA6">
            <w:pPr>
              <w:widowControl/>
              <w:spacing w:line="360" w:lineRule="auto"/>
              <w:jc w:val="center"/>
              <w:rPr>
                <w:rFonts w:ascii="宋体" w:hAnsi="宋体" w:cs="宋体"/>
                <w:kern w:val="0"/>
                <w:szCs w:val="21"/>
              </w:rPr>
            </w:pPr>
          </w:p>
        </w:tc>
      </w:tr>
      <w:tr w14:paraId="7D7246AD">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691A9EDF">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6931F38">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CE909CC">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00915A7">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C5B232D">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AE3C3B3">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A830BF">
            <w:pPr>
              <w:widowControl/>
              <w:spacing w:line="360" w:lineRule="auto"/>
              <w:jc w:val="center"/>
              <w:rPr>
                <w:rFonts w:ascii="宋体" w:hAnsi="宋体" w:cs="宋体"/>
                <w:kern w:val="0"/>
                <w:szCs w:val="21"/>
              </w:rPr>
            </w:pPr>
          </w:p>
        </w:tc>
      </w:tr>
      <w:tr w14:paraId="5C79625F">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24615DCA">
            <w:pPr>
              <w:widowControl/>
              <w:spacing w:line="360" w:lineRule="auto"/>
              <w:jc w:val="center"/>
              <w:rPr>
                <w:rFonts w:ascii="宋体" w:hAnsi="宋体" w:cs="宋体"/>
                <w:kern w:val="0"/>
                <w:szCs w:val="21"/>
              </w:rPr>
            </w:pPr>
            <w:r>
              <w:rPr>
                <w:rFonts w:hint="eastAsia" w:ascii="宋体" w:hAnsi="宋体" w:cs="宋体"/>
                <w:kern w:val="0"/>
                <w:szCs w:val="21"/>
              </w:rPr>
              <w:t>3</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879D726">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7F8195C">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5434BDD3">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B3A8918">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CE5DD4B">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794087">
            <w:pPr>
              <w:widowControl/>
              <w:spacing w:line="360" w:lineRule="auto"/>
              <w:jc w:val="center"/>
              <w:rPr>
                <w:rFonts w:ascii="宋体" w:hAnsi="宋体" w:cs="宋体"/>
                <w:kern w:val="0"/>
                <w:szCs w:val="21"/>
              </w:rPr>
            </w:pPr>
          </w:p>
        </w:tc>
      </w:tr>
      <w:tr w14:paraId="74F0909F">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1D81CABA">
            <w:pPr>
              <w:widowControl/>
              <w:spacing w:line="360" w:lineRule="auto"/>
              <w:jc w:val="center"/>
              <w:rPr>
                <w:rFonts w:ascii="宋体" w:hAnsi="宋体" w:cs="宋体"/>
                <w:kern w:val="0"/>
                <w:szCs w:val="21"/>
              </w:rPr>
            </w:pPr>
            <w:r>
              <w:rPr>
                <w:rFonts w:hint="eastAsia" w:ascii="宋体" w:hAnsi="宋体" w:cs="宋体"/>
                <w:kern w:val="0"/>
                <w:szCs w:val="21"/>
              </w:rPr>
              <w:t>4</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90653A2">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D9974FB">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495D9EE5">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614BA59D">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D003738">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927204C">
            <w:pPr>
              <w:widowControl/>
              <w:spacing w:line="360" w:lineRule="auto"/>
              <w:jc w:val="center"/>
              <w:rPr>
                <w:rFonts w:ascii="宋体" w:hAnsi="宋体" w:cs="宋体"/>
                <w:kern w:val="0"/>
                <w:szCs w:val="21"/>
              </w:rPr>
            </w:pPr>
          </w:p>
        </w:tc>
      </w:tr>
      <w:tr w14:paraId="4DB9A7FA">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05066FC4">
            <w:pPr>
              <w:widowControl/>
              <w:spacing w:line="360" w:lineRule="auto"/>
              <w:jc w:val="center"/>
              <w:rPr>
                <w:rFonts w:ascii="宋体" w:hAnsi="宋体" w:cs="宋体"/>
                <w:kern w:val="0"/>
                <w:szCs w:val="21"/>
              </w:rPr>
            </w:pPr>
            <w:r>
              <w:rPr>
                <w:rFonts w:hint="eastAsia" w:ascii="宋体" w:hAnsi="宋体" w:cs="宋体"/>
                <w:kern w:val="0"/>
                <w:szCs w:val="21"/>
              </w:rPr>
              <w:t>5</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3FC40DB">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E434A47">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24A9FD99">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6F28760E">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9C7B2A0">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411CA4">
            <w:pPr>
              <w:widowControl/>
              <w:spacing w:line="360" w:lineRule="auto"/>
              <w:jc w:val="center"/>
              <w:rPr>
                <w:rFonts w:ascii="宋体" w:hAnsi="宋体" w:cs="宋体"/>
                <w:kern w:val="0"/>
                <w:szCs w:val="21"/>
              </w:rPr>
            </w:pPr>
          </w:p>
        </w:tc>
      </w:tr>
      <w:tr w14:paraId="7F20073A">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388669AA">
            <w:pPr>
              <w:widowControl/>
              <w:spacing w:line="360" w:lineRule="auto"/>
              <w:jc w:val="center"/>
              <w:rPr>
                <w:rFonts w:ascii="宋体" w:hAnsi="宋体" w:cs="宋体"/>
                <w:kern w:val="0"/>
                <w:szCs w:val="21"/>
              </w:rPr>
            </w:pPr>
            <w:r>
              <w:rPr>
                <w:rFonts w:hint="eastAsia" w:ascii="宋体" w:hAnsi="宋体" w:cs="宋体"/>
                <w:kern w:val="0"/>
                <w:szCs w:val="21"/>
              </w:rPr>
              <w:t>6</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203BDF2">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985BC5E">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CD3C4E6">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9C076AA">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36B692E">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0EB65E">
            <w:pPr>
              <w:widowControl/>
              <w:spacing w:line="360" w:lineRule="auto"/>
              <w:jc w:val="center"/>
              <w:rPr>
                <w:rFonts w:ascii="宋体" w:hAnsi="宋体" w:cs="宋体"/>
                <w:kern w:val="0"/>
                <w:szCs w:val="21"/>
              </w:rPr>
            </w:pPr>
          </w:p>
        </w:tc>
      </w:tr>
      <w:tr w14:paraId="27327EA9">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6B9B5A2A">
            <w:pPr>
              <w:widowControl/>
              <w:spacing w:line="360" w:lineRule="auto"/>
              <w:jc w:val="center"/>
              <w:rPr>
                <w:rFonts w:ascii="宋体" w:hAnsi="宋体" w:cs="宋体"/>
                <w:kern w:val="0"/>
                <w:szCs w:val="21"/>
              </w:rPr>
            </w:pPr>
            <w:r>
              <w:rPr>
                <w:rFonts w:hint="eastAsia" w:ascii="宋体" w:hAnsi="宋体" w:cs="宋体"/>
                <w:kern w:val="0"/>
                <w:szCs w:val="21"/>
              </w:rPr>
              <w:t>7</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07A39FC">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85227E8">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55EADAF">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8C1BA6F">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3B912B3">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B61C225">
            <w:pPr>
              <w:widowControl/>
              <w:spacing w:line="360" w:lineRule="auto"/>
              <w:jc w:val="center"/>
              <w:rPr>
                <w:rFonts w:ascii="宋体" w:hAnsi="宋体" w:cs="宋体"/>
                <w:kern w:val="0"/>
                <w:szCs w:val="21"/>
              </w:rPr>
            </w:pPr>
          </w:p>
        </w:tc>
      </w:tr>
      <w:tr w14:paraId="68B4F9B5">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2D00B91B">
            <w:pPr>
              <w:widowControl/>
              <w:spacing w:line="360" w:lineRule="auto"/>
              <w:jc w:val="center"/>
              <w:rPr>
                <w:rFonts w:ascii="宋体" w:hAnsi="宋体" w:cs="宋体"/>
                <w:kern w:val="0"/>
                <w:szCs w:val="21"/>
              </w:rPr>
            </w:pPr>
            <w:r>
              <w:rPr>
                <w:rFonts w:hint="eastAsia" w:ascii="宋体" w:hAnsi="宋体" w:cs="宋体"/>
                <w:kern w:val="0"/>
                <w:szCs w:val="21"/>
              </w:rPr>
              <w:t>8</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AD06B5">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62EB770">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04F5375F">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47380BE9">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CD0C928">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429AB1">
            <w:pPr>
              <w:widowControl/>
              <w:spacing w:line="360" w:lineRule="auto"/>
              <w:jc w:val="center"/>
              <w:rPr>
                <w:rFonts w:ascii="宋体" w:hAnsi="宋体" w:cs="宋体"/>
                <w:kern w:val="0"/>
                <w:szCs w:val="21"/>
              </w:rPr>
            </w:pPr>
          </w:p>
        </w:tc>
      </w:tr>
      <w:tr w14:paraId="3B5C971D">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29A3983C">
            <w:pPr>
              <w:widowControl/>
              <w:spacing w:line="360" w:lineRule="auto"/>
              <w:jc w:val="center"/>
              <w:rPr>
                <w:rFonts w:ascii="宋体" w:hAnsi="宋体" w:cs="宋体"/>
                <w:kern w:val="0"/>
                <w:szCs w:val="21"/>
              </w:rPr>
            </w:pPr>
            <w:r>
              <w:rPr>
                <w:rFonts w:hint="eastAsia" w:ascii="宋体" w:hAnsi="宋体" w:cs="宋体"/>
                <w:kern w:val="0"/>
                <w:szCs w:val="21"/>
              </w:rPr>
              <w:t>9</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98A6731">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CF2B664">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13635CD1">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1F07AA68">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78E9D7E">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C9C8044">
            <w:pPr>
              <w:widowControl/>
              <w:spacing w:line="360" w:lineRule="auto"/>
              <w:jc w:val="center"/>
              <w:rPr>
                <w:rFonts w:ascii="宋体" w:hAnsi="宋体" w:cs="宋体"/>
                <w:kern w:val="0"/>
                <w:szCs w:val="21"/>
              </w:rPr>
            </w:pPr>
          </w:p>
        </w:tc>
      </w:tr>
      <w:tr w14:paraId="6AA5D577">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0A1BB685">
            <w:pPr>
              <w:widowControl/>
              <w:spacing w:line="360" w:lineRule="auto"/>
              <w:jc w:val="center"/>
              <w:rPr>
                <w:rFonts w:ascii="宋体" w:hAnsi="宋体" w:cs="宋体"/>
                <w:kern w:val="0"/>
                <w:szCs w:val="21"/>
              </w:rPr>
            </w:pPr>
            <w:r>
              <w:rPr>
                <w:rFonts w:hint="eastAsia" w:ascii="宋体" w:hAnsi="宋体" w:cs="宋体"/>
                <w:kern w:val="0"/>
                <w:szCs w:val="21"/>
              </w:rPr>
              <w:t>10</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82D9D2A">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FAE2B14">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71CBF1E3">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49510DC">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804A85C">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AE0F46">
            <w:pPr>
              <w:widowControl/>
              <w:spacing w:line="360" w:lineRule="auto"/>
              <w:jc w:val="center"/>
              <w:rPr>
                <w:rFonts w:ascii="宋体" w:hAnsi="宋体" w:cs="宋体"/>
                <w:kern w:val="0"/>
                <w:szCs w:val="21"/>
              </w:rPr>
            </w:pPr>
          </w:p>
        </w:tc>
      </w:tr>
      <w:tr w14:paraId="4C07E64F">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1ABE3ED8">
            <w:pPr>
              <w:widowControl/>
              <w:spacing w:line="360" w:lineRule="auto"/>
              <w:jc w:val="center"/>
              <w:rPr>
                <w:rFonts w:ascii="宋体" w:hAnsi="宋体" w:cs="宋体"/>
                <w:kern w:val="0"/>
                <w:szCs w:val="21"/>
              </w:rPr>
            </w:pPr>
            <w:r>
              <w:rPr>
                <w:rFonts w:hint="eastAsia" w:ascii="宋体" w:hAnsi="宋体" w:cs="宋体"/>
                <w:kern w:val="0"/>
                <w:szCs w:val="21"/>
              </w:rPr>
              <w:t>平均值</w:t>
            </w:r>
          </w:p>
        </w:tc>
        <w:tc>
          <w:tcPr>
            <w:tcW w:w="1199"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016580E">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BA65FD0">
            <w:pPr>
              <w:widowControl/>
              <w:spacing w:line="360" w:lineRule="auto"/>
              <w:jc w:val="center"/>
              <w:rPr>
                <w:rFonts w:ascii="宋体" w:hAnsi="宋体" w:cs="宋体"/>
                <w:kern w:val="0"/>
                <w:szCs w:val="21"/>
              </w:rPr>
            </w:pPr>
          </w:p>
        </w:tc>
        <w:tc>
          <w:tcPr>
            <w:tcW w:w="1340"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333EBE8D">
            <w:pPr>
              <w:widowControl/>
              <w:spacing w:line="360" w:lineRule="auto"/>
              <w:jc w:val="center"/>
              <w:rPr>
                <w:rFonts w:ascii="宋体" w:hAnsi="宋体" w:cs="宋体"/>
                <w:kern w:val="0"/>
                <w:szCs w:val="21"/>
              </w:rPr>
            </w:pPr>
          </w:p>
        </w:tc>
        <w:tc>
          <w:tcPr>
            <w:tcW w:w="134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5FA7D85C">
            <w:pPr>
              <w:widowControl/>
              <w:spacing w:line="360" w:lineRule="auto"/>
              <w:jc w:val="center"/>
              <w:rPr>
                <w:rFonts w:ascii="宋体" w:hAnsi="宋体" w:cs="宋体"/>
                <w:kern w:val="0"/>
                <w:szCs w:val="21"/>
              </w:rPr>
            </w:pPr>
          </w:p>
        </w:tc>
        <w:tc>
          <w:tcPr>
            <w:tcW w:w="13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15B5166">
            <w:pPr>
              <w:widowControl/>
              <w:spacing w:line="360" w:lineRule="auto"/>
              <w:jc w:val="center"/>
              <w:rPr>
                <w:rFonts w:ascii="宋体" w:hAnsi="宋体" w:cs="宋体"/>
                <w:kern w:val="0"/>
                <w:szCs w:val="21"/>
              </w:rPr>
            </w:pPr>
          </w:p>
        </w:tc>
        <w:tc>
          <w:tcPr>
            <w:tcW w:w="13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FF41B0">
            <w:pPr>
              <w:widowControl/>
              <w:spacing w:line="360" w:lineRule="auto"/>
              <w:jc w:val="center"/>
              <w:rPr>
                <w:rFonts w:ascii="宋体" w:hAnsi="宋体" w:cs="宋体"/>
                <w:kern w:val="0"/>
                <w:szCs w:val="21"/>
              </w:rPr>
            </w:pPr>
          </w:p>
        </w:tc>
      </w:tr>
      <w:tr w14:paraId="1CFAB15C">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26E0048B">
            <w:pPr>
              <w:widowControl/>
              <w:spacing w:line="360" w:lineRule="auto"/>
              <w:jc w:val="center"/>
              <w:rPr>
                <w:rFonts w:ascii="宋体" w:hAnsi="宋体" w:cs="宋体"/>
                <w:kern w:val="0"/>
                <w:szCs w:val="21"/>
              </w:rPr>
            </w:pPr>
            <w:r>
              <w:rPr>
                <w:rFonts w:hint="eastAsia" w:ascii="宋体" w:hAnsi="宋体" w:cs="宋体"/>
                <w:kern w:val="0"/>
                <w:szCs w:val="21"/>
              </w:rPr>
              <w:t>相对误差</w:t>
            </w:r>
          </w:p>
        </w:tc>
        <w:tc>
          <w:tcPr>
            <w:tcW w:w="2539"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45FA35C7">
            <w:pPr>
              <w:widowControl/>
              <w:spacing w:line="360" w:lineRule="auto"/>
              <w:jc w:val="center"/>
              <w:rPr>
                <w:rFonts w:ascii="宋体" w:hAnsi="宋体" w:cs="宋体"/>
                <w:kern w:val="0"/>
                <w:szCs w:val="21"/>
              </w:rPr>
            </w:pPr>
          </w:p>
        </w:tc>
        <w:tc>
          <w:tcPr>
            <w:tcW w:w="2680"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14:paraId="404441EF">
            <w:pPr>
              <w:widowControl/>
              <w:spacing w:line="360" w:lineRule="auto"/>
              <w:jc w:val="center"/>
              <w:rPr>
                <w:rFonts w:ascii="宋体" w:hAnsi="宋体" w:cs="宋体"/>
                <w:kern w:val="0"/>
                <w:szCs w:val="21"/>
              </w:rPr>
            </w:pPr>
          </w:p>
        </w:tc>
        <w:tc>
          <w:tcPr>
            <w:tcW w:w="2681"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62B33683">
            <w:pPr>
              <w:widowControl/>
              <w:spacing w:line="360" w:lineRule="auto"/>
              <w:jc w:val="center"/>
              <w:rPr>
                <w:rFonts w:ascii="宋体" w:hAnsi="宋体" w:cs="宋体"/>
                <w:kern w:val="0"/>
                <w:szCs w:val="21"/>
              </w:rPr>
            </w:pPr>
          </w:p>
        </w:tc>
      </w:tr>
      <w:tr w14:paraId="34D59D8C">
        <w:tblPrEx>
          <w:tblCellMar>
            <w:top w:w="0" w:type="dxa"/>
            <w:left w:w="108" w:type="dxa"/>
            <w:bottom w:w="0" w:type="dxa"/>
            <w:right w:w="108" w:type="dxa"/>
          </w:tblCellMar>
        </w:tblPrEx>
        <w:trPr>
          <w:gridAfter w:val="1"/>
          <w:wAfter w:w="14" w:type="dxa"/>
          <w:trHeight w:val="425" w:hRule="exact"/>
        </w:trPr>
        <w:tc>
          <w:tcPr>
            <w:tcW w:w="1096" w:type="dxa"/>
            <w:tcBorders>
              <w:top w:val="single" w:color="auto" w:sz="4" w:space="0"/>
              <w:left w:val="single" w:color="auto" w:sz="4" w:space="0"/>
              <w:bottom w:val="single" w:color="auto" w:sz="4" w:space="0"/>
              <w:right w:val="single" w:color="auto" w:sz="4" w:space="0"/>
            </w:tcBorders>
            <w:vAlign w:val="center"/>
          </w:tcPr>
          <w:p w14:paraId="474FFBDB">
            <w:pPr>
              <w:widowControl/>
              <w:spacing w:line="360" w:lineRule="auto"/>
              <w:jc w:val="center"/>
              <w:rPr>
                <w:rFonts w:ascii="宋体" w:hAnsi="宋体" w:cs="宋体"/>
                <w:kern w:val="0"/>
                <w:szCs w:val="21"/>
              </w:rPr>
            </w:pPr>
            <w:r>
              <w:rPr>
                <w:rFonts w:hint="eastAsia" w:ascii="宋体" w:hAnsi="宋体" w:cs="宋体"/>
                <w:kern w:val="0"/>
                <w:szCs w:val="21"/>
              </w:rPr>
              <w:t>不确定度</w:t>
            </w:r>
          </w:p>
        </w:tc>
        <w:tc>
          <w:tcPr>
            <w:tcW w:w="7900" w:type="dxa"/>
            <w:gridSpan w:val="19"/>
            <w:tcBorders>
              <w:top w:val="single" w:color="auto" w:sz="4" w:space="0"/>
              <w:left w:val="single" w:color="auto" w:sz="4" w:space="0"/>
              <w:bottom w:val="single" w:color="auto" w:sz="4" w:space="0"/>
              <w:right w:val="single" w:color="auto" w:sz="4" w:space="0"/>
            </w:tcBorders>
            <w:shd w:val="clear" w:color="auto" w:fill="auto"/>
            <w:noWrap/>
            <w:vAlign w:val="center"/>
          </w:tcPr>
          <w:p w14:paraId="5B1977C7">
            <w:pPr>
              <w:widowControl/>
              <w:spacing w:line="360" w:lineRule="auto"/>
              <w:jc w:val="center"/>
              <w:rPr>
                <w:rFonts w:ascii="宋体" w:hAnsi="宋体" w:cs="宋体"/>
                <w:kern w:val="0"/>
                <w:szCs w:val="21"/>
              </w:rPr>
            </w:pPr>
          </w:p>
        </w:tc>
      </w:tr>
      <w:tr w14:paraId="10DCEAA7">
        <w:tblPrEx>
          <w:tblCellMar>
            <w:top w:w="0" w:type="dxa"/>
            <w:left w:w="108" w:type="dxa"/>
            <w:bottom w:w="0" w:type="dxa"/>
            <w:right w:w="108" w:type="dxa"/>
          </w:tblCellMar>
        </w:tblPrEx>
        <w:trPr>
          <w:gridAfter w:val="1"/>
          <w:wAfter w:w="14" w:type="dxa"/>
          <w:trHeight w:val="425" w:hRule="exact"/>
        </w:trPr>
        <w:tc>
          <w:tcPr>
            <w:tcW w:w="1499" w:type="dxa"/>
            <w:gridSpan w:val="2"/>
            <w:tcBorders>
              <w:top w:val="single" w:color="auto" w:sz="4" w:space="0"/>
              <w:left w:val="single" w:color="auto" w:sz="4" w:space="0"/>
              <w:bottom w:val="single" w:color="auto" w:sz="4" w:space="0"/>
              <w:right w:val="single" w:color="auto" w:sz="4" w:space="0"/>
            </w:tcBorders>
            <w:vAlign w:val="center"/>
          </w:tcPr>
          <w:p w14:paraId="2CD86445">
            <w:pPr>
              <w:widowControl/>
              <w:spacing w:line="360" w:lineRule="auto"/>
              <w:jc w:val="center"/>
              <w:rPr>
                <w:rFonts w:ascii="宋体" w:hAnsi="宋体" w:cs="宋体"/>
                <w:kern w:val="0"/>
                <w:szCs w:val="21"/>
              </w:rPr>
            </w:pPr>
            <w:r>
              <w:rPr>
                <w:rFonts w:hint="eastAsia" w:ascii="宋体" w:hAnsi="宋体" w:cs="宋体"/>
                <w:kern w:val="0"/>
                <w:szCs w:val="21"/>
              </w:rPr>
              <w:t>校准员：</w:t>
            </w:r>
          </w:p>
        </w:tc>
        <w:tc>
          <w:tcPr>
            <w:tcW w:w="1499" w:type="dxa"/>
            <w:gridSpan w:val="4"/>
            <w:tcBorders>
              <w:top w:val="single" w:color="auto" w:sz="4" w:space="0"/>
              <w:left w:val="single" w:color="auto" w:sz="4" w:space="0"/>
              <w:bottom w:val="single" w:color="auto" w:sz="4" w:space="0"/>
              <w:right w:val="single" w:color="auto" w:sz="4" w:space="0"/>
            </w:tcBorders>
            <w:vAlign w:val="center"/>
          </w:tcPr>
          <w:p w14:paraId="793B2C97">
            <w:pPr>
              <w:widowControl/>
              <w:spacing w:line="360" w:lineRule="auto"/>
              <w:jc w:val="center"/>
              <w:rPr>
                <w:rFonts w:ascii="宋体" w:hAnsi="宋体" w:cs="宋体"/>
                <w:kern w:val="0"/>
                <w:szCs w:val="21"/>
              </w:rPr>
            </w:pPr>
          </w:p>
        </w:tc>
        <w:tc>
          <w:tcPr>
            <w:tcW w:w="1499" w:type="dxa"/>
            <w:gridSpan w:val="3"/>
            <w:tcBorders>
              <w:top w:val="single" w:color="auto" w:sz="4" w:space="0"/>
              <w:left w:val="single" w:color="auto" w:sz="4" w:space="0"/>
              <w:bottom w:val="single" w:color="auto" w:sz="4" w:space="0"/>
              <w:right w:val="single" w:color="auto" w:sz="4" w:space="0"/>
            </w:tcBorders>
            <w:vAlign w:val="center"/>
          </w:tcPr>
          <w:p w14:paraId="2871B155">
            <w:pPr>
              <w:widowControl/>
              <w:spacing w:line="360" w:lineRule="auto"/>
              <w:jc w:val="center"/>
              <w:rPr>
                <w:rFonts w:ascii="宋体" w:hAnsi="宋体" w:cs="宋体"/>
                <w:kern w:val="0"/>
                <w:szCs w:val="21"/>
              </w:rPr>
            </w:pPr>
            <w:r>
              <w:rPr>
                <w:rFonts w:hint="eastAsia" w:ascii="宋体" w:hAnsi="宋体" w:cs="宋体"/>
                <w:kern w:val="0"/>
                <w:szCs w:val="21"/>
              </w:rPr>
              <w:t>核验员：</w:t>
            </w:r>
          </w:p>
        </w:tc>
        <w:tc>
          <w:tcPr>
            <w:tcW w:w="1499" w:type="dxa"/>
            <w:gridSpan w:val="5"/>
            <w:tcBorders>
              <w:top w:val="single" w:color="auto" w:sz="4" w:space="0"/>
              <w:left w:val="single" w:color="auto" w:sz="4" w:space="0"/>
              <w:bottom w:val="single" w:color="auto" w:sz="4" w:space="0"/>
              <w:right w:val="single" w:color="auto" w:sz="4" w:space="0"/>
            </w:tcBorders>
            <w:vAlign w:val="center"/>
          </w:tcPr>
          <w:p w14:paraId="72683FB1">
            <w:pPr>
              <w:widowControl/>
              <w:spacing w:line="360" w:lineRule="auto"/>
              <w:jc w:val="center"/>
              <w:rPr>
                <w:rFonts w:ascii="宋体" w:hAnsi="宋体" w:cs="宋体"/>
                <w:kern w:val="0"/>
                <w:szCs w:val="21"/>
              </w:rPr>
            </w:pPr>
          </w:p>
        </w:tc>
        <w:tc>
          <w:tcPr>
            <w:tcW w:w="1559" w:type="dxa"/>
            <w:gridSpan w:val="4"/>
            <w:tcBorders>
              <w:top w:val="single" w:color="auto" w:sz="4" w:space="0"/>
              <w:left w:val="single" w:color="auto" w:sz="4" w:space="0"/>
              <w:bottom w:val="single" w:color="auto" w:sz="4" w:space="0"/>
              <w:right w:val="single" w:color="auto" w:sz="4" w:space="0"/>
            </w:tcBorders>
            <w:vAlign w:val="center"/>
          </w:tcPr>
          <w:p w14:paraId="4E1FAD4F">
            <w:pPr>
              <w:widowControl/>
              <w:spacing w:line="360" w:lineRule="auto"/>
              <w:jc w:val="center"/>
              <w:rPr>
                <w:rFonts w:ascii="宋体" w:hAnsi="宋体" w:cs="宋体"/>
                <w:kern w:val="0"/>
                <w:szCs w:val="21"/>
              </w:rPr>
            </w:pPr>
            <w:r>
              <w:rPr>
                <w:rFonts w:hint="eastAsia" w:ascii="宋体" w:hAnsi="宋体" w:cs="宋体"/>
                <w:kern w:val="0"/>
                <w:szCs w:val="21"/>
              </w:rPr>
              <w:t>校准日期：</w:t>
            </w:r>
          </w:p>
        </w:tc>
        <w:tc>
          <w:tcPr>
            <w:tcW w:w="1441" w:type="dxa"/>
            <w:gridSpan w:val="2"/>
            <w:tcBorders>
              <w:top w:val="single" w:color="auto" w:sz="4" w:space="0"/>
              <w:left w:val="single" w:color="auto" w:sz="4" w:space="0"/>
              <w:bottom w:val="single" w:color="auto" w:sz="4" w:space="0"/>
              <w:right w:val="single" w:color="auto" w:sz="4" w:space="0"/>
            </w:tcBorders>
            <w:vAlign w:val="center"/>
          </w:tcPr>
          <w:p w14:paraId="7A827E27">
            <w:pPr>
              <w:widowControl/>
              <w:spacing w:line="360" w:lineRule="auto"/>
              <w:jc w:val="center"/>
              <w:rPr>
                <w:rFonts w:ascii="宋体" w:hAnsi="宋体" w:cs="宋体"/>
                <w:kern w:val="0"/>
                <w:szCs w:val="21"/>
              </w:rPr>
            </w:pPr>
          </w:p>
        </w:tc>
      </w:tr>
    </w:tbl>
    <w:p w14:paraId="580044BC">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244FC37F">
      <w:pPr>
        <w:spacing w:line="360" w:lineRule="auto"/>
        <w:rPr>
          <w:rFonts w:ascii="黑体" w:hAnsi="黑体" w:eastAsia="黑体" w:cs="黑体"/>
          <w:sz w:val="24"/>
        </w:rPr>
      </w:pPr>
      <w:r>
        <w:rPr>
          <w:rFonts w:hint="eastAsia" w:ascii="黑体" w:hAnsi="黑体" w:eastAsia="黑体" w:cs="黑体"/>
          <w:sz w:val="24"/>
        </w:rPr>
        <w:t>附录B</w:t>
      </w:r>
    </w:p>
    <w:p w14:paraId="1ED2EB9E">
      <w:pPr>
        <w:tabs>
          <w:tab w:val="left" w:pos="510"/>
          <w:tab w:val="left" w:pos="4995"/>
        </w:tabs>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安装式数字显示电测量仪表在线校准证书内页格式（推荐）</w:t>
      </w:r>
    </w:p>
    <w:p w14:paraId="6D1852EC">
      <w:pPr>
        <w:spacing w:line="360" w:lineRule="auto"/>
        <w:rPr>
          <w:rFonts w:asciiTheme="minorEastAsia" w:hAnsiTheme="minorEastAsia" w:eastAsiaTheme="minorEastAsia" w:cstheme="minorEastAsia"/>
          <w:bCs/>
          <w:sz w:val="24"/>
        </w:rPr>
      </w:pPr>
    </w:p>
    <w:tbl>
      <w:tblPr>
        <w:tblStyle w:val="10"/>
        <w:tblW w:w="9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1"/>
      </w:tblGrid>
      <w:tr w14:paraId="7E86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1" w:hRule="atLeast"/>
        </w:trPr>
        <w:tc>
          <w:tcPr>
            <w:tcW w:w="9031" w:type="dxa"/>
            <w:shd w:val="clear" w:color="auto" w:fill="auto"/>
          </w:tcPr>
          <w:p w14:paraId="68D91959">
            <w:pPr>
              <w:tabs>
                <w:tab w:val="right" w:pos="10204"/>
              </w:tabs>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校准结果：</w:t>
            </w:r>
          </w:p>
          <w:p w14:paraId="14923450">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1、直流电压相对示值误差：</w:t>
            </w:r>
          </w:p>
          <w:p w14:paraId="0F8468E2">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测量结果不确定度：</w:t>
            </w:r>
          </w:p>
          <w:p w14:paraId="42360954">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2、直流电流相对示值误差：</w:t>
            </w:r>
          </w:p>
          <w:p w14:paraId="1E7D47BE">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测量结果不确定度：</w:t>
            </w:r>
          </w:p>
          <w:p w14:paraId="0BDEB1DD">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3、交流电压相对示值误差：</w:t>
            </w:r>
          </w:p>
          <w:p w14:paraId="03E4F953">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测量结果不确定度：</w:t>
            </w:r>
          </w:p>
          <w:p w14:paraId="778E55C6">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4、交流电流相对示值误差：</w:t>
            </w:r>
          </w:p>
          <w:p w14:paraId="4F761D4D">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测量结果不确定度：</w:t>
            </w:r>
          </w:p>
          <w:p w14:paraId="53018CAD">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5、交流功率相对示值误差：</w:t>
            </w:r>
          </w:p>
          <w:p w14:paraId="67FE559E">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测量结果不确定度：</w:t>
            </w:r>
          </w:p>
          <w:p w14:paraId="34722CF1">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6、频率相对示值误差：</w:t>
            </w:r>
          </w:p>
          <w:p w14:paraId="7078BF63">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测量结果不确定度：</w:t>
            </w:r>
          </w:p>
          <w:p w14:paraId="0D1B8DD7">
            <w:pPr>
              <w:tabs>
                <w:tab w:val="right" w:pos="10204"/>
              </w:tabs>
              <w:spacing w:line="360" w:lineRule="auto"/>
              <w:rPr>
                <w:rFonts w:asciiTheme="minorEastAsia" w:hAnsiTheme="minorEastAsia" w:eastAsiaTheme="minorEastAsia" w:cstheme="minorEastAsia"/>
                <w:bCs/>
                <w:color w:val="FF0000"/>
                <w:sz w:val="24"/>
              </w:rPr>
            </w:pPr>
            <w:r>
              <w:rPr>
                <w:rFonts w:hint="eastAsia" w:asciiTheme="minorEastAsia" w:hAnsiTheme="minorEastAsia" w:eastAsiaTheme="minorEastAsia" w:cstheme="minorEastAsia"/>
                <w:bCs/>
                <w:color w:val="FF0000"/>
                <w:sz w:val="24"/>
              </w:rPr>
              <w:t>7、</w:t>
            </w:r>
            <w:r>
              <w:rPr>
                <w:rFonts w:hint="eastAsia" w:asciiTheme="minorEastAsia" w:hAnsiTheme="minorEastAsia" w:eastAsiaTheme="minorEastAsia" w:cstheme="minorEastAsia"/>
                <w:bCs/>
                <w:color w:val="FF0000"/>
                <w:sz w:val="24"/>
                <w:lang w:eastAsia="zh-CN"/>
              </w:rPr>
              <w:t>相位</w:t>
            </w:r>
            <w:r>
              <w:rPr>
                <w:rFonts w:hint="eastAsia" w:asciiTheme="minorEastAsia" w:hAnsiTheme="minorEastAsia" w:eastAsiaTheme="minorEastAsia" w:cstheme="minorEastAsia"/>
                <w:bCs/>
                <w:color w:val="FF0000"/>
                <w:sz w:val="24"/>
              </w:rPr>
              <w:t>相对示值误差：</w:t>
            </w:r>
          </w:p>
          <w:p w14:paraId="22E5228B">
            <w:pPr>
              <w:tabs>
                <w:tab w:val="right" w:pos="10204"/>
              </w:tabs>
              <w:spacing w:line="360" w:lineRule="auto"/>
              <w:rPr>
                <w:rFonts w:hint="eastAsia" w:asciiTheme="minorEastAsia" w:hAnsiTheme="minorEastAsia" w:eastAsiaTheme="minorEastAsia" w:cstheme="minorEastAsia"/>
                <w:bCs/>
                <w:color w:val="FF0000"/>
                <w:sz w:val="24"/>
              </w:rPr>
            </w:pPr>
            <w:r>
              <w:rPr>
                <w:rFonts w:hint="eastAsia" w:asciiTheme="minorEastAsia" w:hAnsiTheme="minorEastAsia" w:eastAsiaTheme="minorEastAsia" w:cstheme="minorEastAsia"/>
                <w:bCs/>
                <w:color w:val="FF0000"/>
                <w:sz w:val="24"/>
              </w:rPr>
              <w:t xml:space="preserve">   测量结果不确定度：</w:t>
            </w:r>
          </w:p>
          <w:p w14:paraId="7E41BC2D">
            <w:pPr>
              <w:tabs>
                <w:tab w:val="right" w:pos="10204"/>
              </w:tabs>
              <w:spacing w:line="360" w:lineRule="auto"/>
              <w:rPr>
                <w:rFonts w:asciiTheme="minorEastAsia" w:hAnsiTheme="minorEastAsia" w:eastAsiaTheme="minorEastAsia" w:cstheme="minorEastAsia"/>
                <w:bCs/>
                <w:color w:val="FF0000"/>
                <w:sz w:val="24"/>
              </w:rPr>
            </w:pPr>
            <w:r>
              <w:rPr>
                <w:rFonts w:hint="eastAsia" w:asciiTheme="minorEastAsia" w:hAnsiTheme="minorEastAsia" w:eastAsiaTheme="minorEastAsia" w:cstheme="minorEastAsia"/>
                <w:bCs/>
                <w:color w:val="FF0000"/>
                <w:sz w:val="24"/>
                <w:lang w:val="en-US" w:eastAsia="zh-CN"/>
              </w:rPr>
              <w:t>8</w:t>
            </w:r>
            <w:r>
              <w:rPr>
                <w:rFonts w:hint="eastAsia" w:asciiTheme="minorEastAsia" w:hAnsiTheme="minorEastAsia" w:eastAsiaTheme="minorEastAsia" w:cstheme="minorEastAsia"/>
                <w:bCs/>
                <w:color w:val="FF0000"/>
                <w:sz w:val="24"/>
              </w:rPr>
              <w:t>、</w:t>
            </w:r>
            <w:r>
              <w:rPr>
                <w:rFonts w:hint="eastAsia" w:asciiTheme="minorEastAsia" w:hAnsiTheme="minorEastAsia" w:eastAsiaTheme="minorEastAsia" w:cstheme="minorEastAsia"/>
                <w:bCs/>
                <w:color w:val="FF0000"/>
                <w:sz w:val="24"/>
                <w:lang w:eastAsia="zh-CN"/>
              </w:rPr>
              <w:t>功率因数</w:t>
            </w:r>
            <w:r>
              <w:rPr>
                <w:rFonts w:hint="eastAsia" w:asciiTheme="minorEastAsia" w:hAnsiTheme="minorEastAsia" w:eastAsiaTheme="minorEastAsia" w:cstheme="minorEastAsia"/>
                <w:bCs/>
                <w:color w:val="FF0000"/>
                <w:sz w:val="24"/>
              </w:rPr>
              <w:t>相对示值误差：</w:t>
            </w:r>
          </w:p>
          <w:p w14:paraId="47A51126">
            <w:pPr>
              <w:tabs>
                <w:tab w:val="right" w:pos="10204"/>
              </w:tabs>
              <w:spacing w:line="360" w:lineRule="auto"/>
              <w:rPr>
                <w:rFonts w:asciiTheme="minorEastAsia" w:hAnsiTheme="minorEastAsia" w:eastAsiaTheme="minorEastAsia" w:cstheme="minorEastAsia"/>
                <w:bCs/>
                <w:color w:val="FF0000"/>
                <w:sz w:val="24"/>
              </w:rPr>
            </w:pPr>
            <w:r>
              <w:rPr>
                <w:rFonts w:hint="eastAsia" w:asciiTheme="minorEastAsia" w:hAnsiTheme="minorEastAsia" w:eastAsiaTheme="minorEastAsia" w:cstheme="minorEastAsia"/>
                <w:bCs/>
                <w:color w:val="FF0000"/>
                <w:sz w:val="24"/>
              </w:rPr>
              <w:t xml:space="preserve">   测量结果不确定度：</w:t>
            </w:r>
          </w:p>
          <w:p w14:paraId="7076B94F">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lang w:val="en-US" w:eastAsia="zh-CN"/>
              </w:rPr>
              <w:t>9</w:t>
            </w:r>
            <w:r>
              <w:rPr>
                <w:rFonts w:hint="eastAsia" w:asciiTheme="minorEastAsia" w:hAnsiTheme="minorEastAsia" w:eastAsiaTheme="minorEastAsia" w:cstheme="minorEastAsia"/>
                <w:bCs/>
                <w:sz w:val="24"/>
              </w:rPr>
              <w:t>、电能相对示值误差：</w:t>
            </w:r>
          </w:p>
          <w:p w14:paraId="1BA97764">
            <w:pPr>
              <w:tabs>
                <w:tab w:val="right" w:pos="10204"/>
              </w:tabs>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 xml:space="preserve">   测量结果不确定度：</w:t>
            </w:r>
          </w:p>
          <w:p w14:paraId="73B48AE3">
            <w:pPr>
              <w:tabs>
                <w:tab w:val="right" w:pos="10204"/>
              </w:tabs>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 xml:space="preserve">   以下空白   </w:t>
            </w:r>
          </w:p>
        </w:tc>
      </w:tr>
    </w:tbl>
    <w:p w14:paraId="18C9FE90">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br w:type="page"/>
      </w:r>
    </w:p>
    <w:p w14:paraId="72E461BB">
      <w:pPr>
        <w:spacing w:line="360" w:lineRule="auto"/>
        <w:rPr>
          <w:rFonts w:ascii="黑体" w:hAnsi="黑体" w:eastAsia="黑体" w:cs="黑体"/>
          <w:sz w:val="24"/>
        </w:rPr>
      </w:pPr>
      <w:r>
        <w:rPr>
          <w:rFonts w:hint="eastAsia" w:ascii="黑体" w:hAnsi="黑体" w:eastAsia="黑体" w:cs="黑体"/>
          <w:bCs/>
          <w:sz w:val="24"/>
        </w:rPr>
        <w:t>附录C</w:t>
      </w:r>
    </w:p>
    <w:p w14:paraId="7723F03A">
      <w:pPr>
        <w:spacing w:after="312" w:afterLines="100" w:line="240" w:lineRule="auto"/>
        <w:ind w:firstLine="240" w:firstLineChars="1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安装式数字显示电测量仪表在线校准结果的不确定度评定示例</w:t>
      </w:r>
    </w:p>
    <w:p w14:paraId="4A7DE796">
      <w:pPr>
        <w:spacing w:line="240" w:lineRule="auto"/>
        <w:ind w:firstLine="480" w:firstLineChars="200"/>
        <w:rPr>
          <w:rFonts w:hint="default" w:asciiTheme="minorEastAsia" w:hAnsiTheme="minorEastAsia" w:eastAsiaTheme="minorEastAsia" w:cstheme="minorEastAsia"/>
          <w:color w:val="FF0000"/>
          <w:sz w:val="24"/>
          <w:lang w:val="en-US" w:eastAsia="zh-CN"/>
        </w:rPr>
      </w:pPr>
      <w:r>
        <w:rPr>
          <w:rFonts w:hint="eastAsia" w:asciiTheme="minorEastAsia" w:hAnsiTheme="minorEastAsia" w:eastAsiaTheme="minorEastAsia" w:cstheme="minorEastAsia"/>
          <w:color w:val="FF0000"/>
          <w:sz w:val="24"/>
          <w:lang w:val="en-US" w:eastAsia="zh-CN"/>
        </w:rPr>
        <w:t>本示例对直流电压参量示值误差的测量结果进行不确定度评定，其余直流电流、交流电压、交流电流、交流功率、频率、相位、功率因数等各参量示值误差的测量方法和数学模型与本例相同，不确定度可参考本示例进行评定。</w:t>
      </w:r>
    </w:p>
    <w:p w14:paraId="74E8F809">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C1</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、概述</w:t>
      </w:r>
    </w:p>
    <w:p w14:paraId="3E88CE3B">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C1.1</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 xml:space="preserve">  测量环境： 环境温度：28℃</w:t>
      </w:r>
      <w:r>
        <w:rPr>
          <w:rFonts w:hint="eastAsia" w:asciiTheme="minorEastAsia" w:hAnsiTheme="minorEastAsia" w:eastAsiaTheme="minorEastAsia" w:cstheme="minorEastAsia"/>
          <w:color w:val="000000"/>
          <w:sz w:val="24"/>
        </w:rPr>
        <w:t>；</w:t>
      </w:r>
    </w:p>
    <w:p w14:paraId="0A578A33">
      <w:pPr>
        <w:spacing w:line="360" w:lineRule="auto"/>
        <w:ind w:firstLine="1920" w:firstLineChars="8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相对湿度：</w:t>
      </w:r>
      <w:r>
        <w:rPr>
          <w:rFonts w:hint="eastAsia" w:asciiTheme="minorEastAsia" w:hAnsiTheme="minorEastAsia" w:eastAsiaTheme="minorEastAsia" w:cstheme="minorEastAsia"/>
          <w:color w:val="000000"/>
          <w:sz w:val="24"/>
        </w:rPr>
        <w:t>60%；</w:t>
      </w:r>
    </w:p>
    <w:p w14:paraId="47438E0C">
      <w:pPr>
        <w:spacing w:line="360" w:lineRule="auto"/>
        <w:ind w:firstLine="1920" w:firstLineChars="8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交流供电电压：（220±22）V。</w:t>
      </w:r>
    </w:p>
    <w:p w14:paraId="63F850C8">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C1</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.2  测量标准：</w:t>
      </w:r>
      <w:r>
        <w:rPr>
          <w:rFonts w:hint="eastAsia" w:asciiTheme="minorEastAsia" w:hAnsiTheme="minorEastAsia" w:eastAsiaTheme="minorEastAsia" w:cstheme="minorEastAsia"/>
          <w:color w:val="000000"/>
          <w:kern w:val="0"/>
          <w:sz w:val="24"/>
        </w:rPr>
        <w:t>标准电压表</w:t>
      </w:r>
      <w:r>
        <w:rPr>
          <w:rFonts w:hint="eastAsia" w:asciiTheme="minorEastAsia" w:hAnsiTheme="minorEastAsia" w:eastAsiaTheme="minorEastAsia" w:cstheme="minorEastAsia"/>
          <w:sz w:val="24"/>
        </w:rPr>
        <w:t>。</w:t>
      </w:r>
    </w:p>
    <w:p w14:paraId="7129178A">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C1.</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3  测量对象：数字直流电压表。</w:t>
      </w:r>
    </w:p>
    <w:p w14:paraId="2284A8AA">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C1.</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4  测量方法：</w:t>
      </w:r>
    </w:p>
    <w:p w14:paraId="3513233A">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依据本规范的校准方法，对工作中的直流数字电压表进行校准</w:t>
      </w:r>
      <w:r>
        <w:rPr>
          <w:rFonts w:hint="eastAsia" w:asciiTheme="minorEastAsia" w:hAnsiTheme="minorEastAsia" w:eastAsiaTheme="minorEastAsia" w:cstheme="minorEastAsia"/>
          <w:color w:val="000000"/>
          <w:sz w:val="24"/>
        </w:rPr>
        <w:t>，分别记录</w:t>
      </w:r>
      <w:r>
        <w:rPr>
          <w:rFonts w:hint="eastAsia" w:asciiTheme="minorEastAsia" w:hAnsiTheme="minorEastAsia" w:eastAsiaTheme="minorEastAsia" w:cstheme="minorEastAsia"/>
          <w:sz w:val="24"/>
        </w:rPr>
        <w:t>直流数字电压表和标准电压表的数值</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sz w:val="24"/>
        </w:rPr>
        <w:t>并进行不确定度分析。</w:t>
      </w:r>
    </w:p>
    <w:p w14:paraId="59801FF8">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2、数学模型</w:t>
      </w:r>
    </w:p>
    <w:p w14:paraId="2D6A4A05">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position w:val="-32"/>
          <w:sz w:val="24"/>
        </w:rPr>
        <w:object>
          <v:shape id="_x0000_i1029" o:spt="75" type="#_x0000_t75" style="height:34.95pt;width:92pt;" o:ole="t" filled="f" o:preferrelative="t" stroked="f" coordsize="21600,21600">
            <v:path/>
            <v:fill on="f" focussize="0,0"/>
            <v:stroke on="f" joinstyle="miter"/>
            <v:imagedata r:id="rId28" o:title=""/>
            <o:lock v:ext="edit" aspectratio="t"/>
            <w10:wrap type="none"/>
            <w10:anchorlock/>
          </v:shape>
          <o:OLEObject Type="Embed" ProgID="Equation.KSEE3" ShapeID="_x0000_i1029" DrawAspect="Content" ObjectID="_1468075729" r:id="rId27">
            <o:LockedField>false</o:LockedField>
          </o:OLEObject>
        </w:object>
      </w:r>
    </w:p>
    <w:p w14:paraId="56D0AA6A">
      <w:pPr>
        <w:pStyle w:val="4"/>
        <w:spacing w:before="156" w:beforeLines="50" w:line="360" w:lineRule="auto"/>
        <w:ind w:right="25" w:rightChars="1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式中： </w:t>
      </w:r>
      <w:r>
        <w:rPr>
          <w:rFonts w:hint="eastAsia" w:asciiTheme="minorEastAsia" w:hAnsiTheme="minorEastAsia" w:eastAsiaTheme="minorEastAsia" w:cstheme="minorEastAsia"/>
          <w:position w:val="-4"/>
          <w:sz w:val="24"/>
          <w:szCs w:val="24"/>
        </w:rPr>
        <w:object>
          <v:shape id="_x0000_i1030" o:spt="75" type="#_x0000_t75" style="height:12.9pt;width:10.8pt;" o:ole="t" filled="f" o:preferrelative="t" stroked="f" coordsize="21600,21600">
            <v:path/>
            <v:fill on="f" focussize="0,0"/>
            <v:stroke on="f" joinstyle="miter"/>
            <v:imagedata r:id="rId20" o:title=""/>
            <o:lock v:ext="edit" aspectratio="t"/>
            <w10:wrap type="none"/>
            <w10:anchorlock/>
          </v:shape>
          <o:OLEObject Type="Embed" ProgID="Equation.KSEE3" ShapeID="_x0000_i1030" DrawAspect="Content" ObjectID="_1468075730" r:id="rId29">
            <o:LockedField>false</o:LockedField>
          </o:OLEObject>
        </w:object>
      </w:r>
      <w:r>
        <w:rPr>
          <w:rFonts w:hint="eastAsia" w:asciiTheme="minorEastAsia" w:hAnsiTheme="minorEastAsia" w:eastAsiaTheme="minorEastAsia" w:cstheme="minorEastAsia"/>
          <w:sz w:val="24"/>
          <w:szCs w:val="24"/>
        </w:rPr>
        <w:t>——被校参量的相对示值误差，%；</w:t>
      </w:r>
    </w:p>
    <w:p w14:paraId="463B50CA">
      <w:pPr>
        <w:pStyle w:val="4"/>
        <w:spacing w:before="156" w:beforeLines="50" w:line="360" w:lineRule="auto"/>
        <w:ind w:right="25" w:rightChars="12"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position w:val="-4"/>
          <w:sz w:val="24"/>
          <w:szCs w:val="24"/>
        </w:rPr>
        <w:object>
          <v:shape id="_x0000_i1031" o:spt="75" type="#_x0000_t75" style="height:15.8pt;width:12.9pt;" o:ole="t" filled="f" o:preferrelative="t" stroked="f" coordsize="21600,21600">
            <v:path/>
            <v:fill on="f" focussize="0,0"/>
            <v:stroke on="f" joinstyle="miter"/>
            <v:imagedata r:id="rId31" o:title=""/>
            <o:lock v:ext="edit" aspectratio="t"/>
            <w10:wrap type="none"/>
            <w10:anchorlock/>
          </v:shape>
          <o:OLEObject Type="Embed" ProgID="Equation.KSEE3" ShapeID="_x0000_i1031" DrawAspect="Content" ObjectID="_1468075731" r:id="rId30">
            <o:LockedField>false</o:LockedField>
          </o:OLEObject>
        </w:object>
      </w:r>
      <w:r>
        <w:rPr>
          <w:rFonts w:hint="eastAsia" w:asciiTheme="minorEastAsia" w:hAnsiTheme="minorEastAsia" w:eastAsiaTheme="minorEastAsia" w:cstheme="minorEastAsia"/>
          <w:sz w:val="24"/>
          <w:szCs w:val="24"/>
        </w:rPr>
        <w:t>——被校参量的测量平均值；</w:t>
      </w:r>
    </w:p>
    <w:p w14:paraId="7370DB48">
      <w:pPr>
        <w:pStyle w:val="4"/>
        <w:spacing w:before="156" w:beforeLines="50" w:line="360" w:lineRule="auto"/>
        <w:ind w:right="25" w:rightChars="12"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position w:val="-12"/>
          <w:sz w:val="24"/>
          <w:szCs w:val="24"/>
        </w:rPr>
        <w:object>
          <v:shape id="_x0000_i1032" o:spt="75" type="#_x0000_t75" style="height:20pt;width:17.05pt;" o:ole="t" filled="f" o:preferrelative="t" stroked="f" coordsize="21600,21600">
            <v:path/>
            <v:fill on="f" focussize="0,0"/>
            <v:stroke on="f" joinstyle="miter"/>
            <v:imagedata r:id="rId33" o:title=""/>
            <o:lock v:ext="edit" aspectratio="t"/>
            <w10:wrap type="none"/>
            <w10:anchorlock/>
          </v:shape>
          <o:OLEObject Type="Embed" ProgID="Equation.KSEE3" ShapeID="_x0000_i1032" DrawAspect="Content" ObjectID="_1468075732" r:id="rId32">
            <o:LockedField>false</o:LockedField>
          </o:OLEObject>
        </w:object>
      </w:r>
      <w:r>
        <w:rPr>
          <w:rFonts w:hint="eastAsia" w:asciiTheme="minorEastAsia" w:hAnsiTheme="minorEastAsia" w:eastAsiaTheme="minorEastAsia" w:cstheme="minorEastAsia"/>
          <w:sz w:val="24"/>
          <w:szCs w:val="24"/>
        </w:rPr>
        <w:t>——被校参量的标准器的平均值；</w:t>
      </w:r>
    </w:p>
    <w:p w14:paraId="32DF0D74">
      <w:pPr>
        <w:spacing w:line="360" w:lineRule="auto"/>
        <w:rPr>
          <w:rFonts w:asciiTheme="minorEastAsia" w:hAnsiTheme="minorEastAsia" w:eastAsiaTheme="minorEastAsia" w:cstheme="minorEastAsia"/>
          <w:sz w:val="24"/>
        </w:rPr>
      </w:pPr>
    </w:p>
    <w:p w14:paraId="6D5D174A">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3、方差和灵敏系数</w:t>
      </w:r>
    </w:p>
    <w:p w14:paraId="28609875">
      <w:pPr>
        <w:spacing w:line="360" w:lineRule="auto"/>
        <w:ind w:firstLine="480" w:firstLineChars="200"/>
        <w:rPr>
          <w:rFonts w:asciiTheme="minorEastAsia" w:hAnsiTheme="minorEastAsia" w:eastAsiaTheme="minorEastAsia" w:cstheme="minorEastAsia"/>
          <w:sz w:val="24"/>
          <w:vertAlign w:val="superscript"/>
        </w:rPr>
      </w:pPr>
      <w:r>
        <w:rPr>
          <w:rFonts w:hint="eastAsia" w:asciiTheme="minorEastAsia" w:hAnsiTheme="minorEastAsia" w:eastAsiaTheme="minorEastAsia" w:cstheme="minorEastAsia"/>
          <w:sz w:val="24"/>
          <w:vertAlign w:val="superscript"/>
        </w:rPr>
        <w:t xml:space="preserve"> </w:t>
      </w:r>
      <w:r>
        <w:rPr>
          <w:rFonts w:hint="eastAsia" w:asciiTheme="minorEastAsia" w:hAnsiTheme="minorEastAsia" w:eastAsiaTheme="minorEastAsia" w:cstheme="minorEastAsia"/>
          <w:position w:val="-18"/>
          <w:sz w:val="24"/>
          <w:vertAlign w:val="superscript"/>
        </w:rPr>
        <w:object>
          <v:shape id="_x0000_i1033" o:spt="75" type="#_x0000_t75" style="height:27.9pt;width:108.6pt;" o:ole="t" filled="f" o:preferrelative="t" stroked="f" coordsize="21600,21600">
            <v:path/>
            <v:fill on="f" focussize="0,0"/>
            <v:stroke on="f" joinstyle="miter"/>
            <v:imagedata r:id="rId35" o:title=""/>
            <o:lock v:ext="edit" aspectratio="t"/>
            <w10:wrap type="none"/>
            <w10:anchorlock/>
          </v:shape>
          <o:OLEObject Type="Embed" ProgID="Equation.KSEE3" ShapeID="_x0000_i1033" DrawAspect="Content" ObjectID="_1468075733" r:id="rId34">
            <o:LockedField>false</o:LockedField>
          </o:OLEObject>
        </w:object>
      </w:r>
      <w:r>
        <w:rPr>
          <w:rFonts w:hint="eastAsia" w:asciiTheme="minorEastAsia" w:hAnsiTheme="minorEastAsia" w:eastAsiaTheme="minorEastAsia" w:cstheme="minorEastAsia"/>
          <w:sz w:val="24"/>
        </w:rPr>
        <w:t>；</w:t>
      </w:r>
    </w:p>
    <w:p w14:paraId="47F90AF3">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position w:val="-32"/>
          <w:sz w:val="24"/>
        </w:rPr>
        <w:object>
          <v:shape id="_x0000_i1034" o:spt="75" type="#_x0000_t75" style="height:42.05pt;width:123.2pt;" o:ole="t" filled="f" o:preferrelative="t" stroked="f" coordsize="21600,21600">
            <v:path/>
            <v:fill on="f" focussize="0,0"/>
            <v:stroke on="f" joinstyle="miter"/>
            <v:imagedata r:id="rId37" o:title=""/>
            <o:lock v:ext="edit" aspectratio="t"/>
            <w10:wrap type="none"/>
            <w10:anchorlock/>
          </v:shape>
          <o:OLEObject Type="Embed" ProgID="Equation.3" ShapeID="_x0000_i1034" DrawAspect="Content" ObjectID="_1468075734" r:id="rId36">
            <o:LockedField>false</o:LockedField>
          </o:OLEObject>
        </w:object>
      </w:r>
      <w:r>
        <w:rPr>
          <w:rFonts w:hint="eastAsia" w:asciiTheme="minorEastAsia" w:hAnsiTheme="minorEastAsia" w:eastAsiaTheme="minorEastAsia" w:cstheme="minorEastAsia"/>
          <w:sz w:val="24"/>
        </w:rPr>
        <w:t xml:space="preserve"> ； </w:t>
      </w:r>
    </w:p>
    <w:p w14:paraId="07C7F8A1">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position w:val="-36"/>
          <w:sz w:val="24"/>
        </w:rPr>
        <w:object>
          <v:shape id="_x0000_i1035" o:spt="75" type="#_x0000_t75" style="height:46.6pt;width:149.85pt;" o:ole="t" filled="f" o:preferrelative="t" stroked="f" coordsize="21600,21600">
            <v:path/>
            <v:fill on="f" focussize="0,0"/>
            <v:stroke on="f" joinstyle="miter"/>
            <v:imagedata r:id="rId39" o:title=""/>
            <o:lock v:ext="edit" aspectratio="t"/>
            <w10:wrap type="none"/>
            <w10:anchorlock/>
          </v:shape>
          <o:OLEObject Type="Embed" ProgID="Equation.3" ShapeID="_x0000_i1035" DrawAspect="Content" ObjectID="_1468075735" r:id="rId38">
            <o:LockedField>false</o:LockedField>
          </o:OLEObject>
        </w:object>
      </w:r>
      <w:r>
        <w:rPr>
          <w:rFonts w:hint="eastAsia" w:asciiTheme="minorEastAsia" w:hAnsiTheme="minorEastAsia" w:eastAsiaTheme="minorEastAsia" w:cstheme="minorEastAsia"/>
          <w:sz w:val="24"/>
        </w:rPr>
        <w:t>；</w:t>
      </w:r>
    </w:p>
    <w:p w14:paraId="6215FE39">
      <w:pPr>
        <w:spacing w:line="360" w:lineRule="auto"/>
        <w:ind w:firstLine="480" w:firstLineChars="200"/>
        <w:rPr>
          <w:rFonts w:asciiTheme="minorEastAsia" w:hAnsiTheme="minorEastAsia" w:eastAsiaTheme="minorEastAsia" w:cstheme="minorEastAsia"/>
          <w:sz w:val="24"/>
        </w:rPr>
      </w:pPr>
    </w:p>
    <w:p w14:paraId="2E5286F5">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4、标准不确定度评定</w:t>
      </w:r>
    </w:p>
    <w:p w14:paraId="7F5975E9">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4.1 被校直流电压表引入的标准不确定度</w:t>
      </w:r>
      <w:r>
        <w:rPr>
          <w:rFonts w:hint="eastAsia" w:asciiTheme="minorEastAsia" w:hAnsiTheme="minorEastAsia" w:eastAsiaTheme="minorEastAsia" w:cstheme="minorEastAsia"/>
          <w:color w:val="000000"/>
          <w:position w:val="-10"/>
          <w:sz w:val="24"/>
        </w:rPr>
        <w:object>
          <v:shape id="_x0000_i1036" o:spt="75" type="#_x0000_t75" style="height:17.05pt;width:15pt;" o:ole="t" filled="f" o:preferrelative="t" stroked="f" coordsize="21600,21600">
            <v:path/>
            <v:fill on="f" focussize="0,0"/>
            <v:stroke on="f" joinstyle="miter"/>
            <v:imagedata r:id="rId41" o:title=""/>
            <o:lock v:ext="edit" aspectratio="t"/>
            <w10:wrap type="none"/>
            <w10:anchorlock/>
          </v:shape>
          <o:OLEObject Type="Embed" ProgID="Equation.KSEE3" ShapeID="_x0000_i1036" DrawAspect="Content" ObjectID="_1468075736" r:id="rId40">
            <o:LockedField>false</o:LockedField>
          </o:OLEObject>
        </w:object>
      </w:r>
    </w:p>
    <w:p w14:paraId="1A7B5009">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4.1.1在线测得的直流电压比较稳定，在相同环境条件下，重复测量6次，记录被校直流电压表的示值：120.3V、120.2V、120.3V、120.4V、120.1V、120.4V,计算</w:t>
      </w:r>
      <w:r>
        <w:rPr>
          <w:rFonts w:hint="eastAsia" w:asciiTheme="minorEastAsia" w:hAnsiTheme="minorEastAsia" w:eastAsiaTheme="minorEastAsia" w:cstheme="minorEastAsia"/>
          <w:bCs/>
          <w:sz w:val="24"/>
        </w:rPr>
        <w:t>平均值的实验标准偏差</w:t>
      </w:r>
      <w:r>
        <w:rPr>
          <w:rFonts w:hint="eastAsia" w:asciiTheme="minorEastAsia" w:hAnsiTheme="minorEastAsia" w:eastAsiaTheme="minorEastAsia" w:cstheme="minorEastAsia"/>
          <w:bCs/>
          <w:i/>
          <w:iCs/>
          <w:position w:val="-6"/>
          <w:sz w:val="24"/>
        </w:rPr>
        <w:object>
          <v:shape id="_x0000_i1037" o:spt="75" type="#_x0000_t75" style="height:17.05pt;width:9.15pt;" o:ole="t" filled="f" o:preferrelative="t" stroked="f" coordsize="21600,21600">
            <v:path/>
            <v:fill on="f" focussize="0,0"/>
            <v:stroke on="f" joinstyle="miter"/>
            <v:imagedata r:id="rId43" o:title=""/>
            <o:lock v:ext="edit" aspectratio="t"/>
            <w10:wrap type="none"/>
            <w10:anchorlock/>
          </v:shape>
          <o:OLEObject Type="Embed" ProgID="Equation.KSEE3" ShapeID="_x0000_i1037" DrawAspect="Content" ObjectID="_1468075737" r:id="rId42">
            <o:LockedField>false</o:LockedField>
          </o:OLEObject>
        </w:object>
      </w:r>
      <w:r>
        <w:rPr>
          <w:rFonts w:hint="eastAsia" w:asciiTheme="minorEastAsia" w:hAnsiTheme="minorEastAsia" w:eastAsiaTheme="minorEastAsia" w:cstheme="minorEastAsia"/>
          <w:bCs/>
          <w:sz w:val="24"/>
        </w:rPr>
        <w:t>，</w:t>
      </w:r>
      <w:r>
        <w:rPr>
          <w:rFonts w:hint="eastAsia" w:asciiTheme="minorEastAsia" w:hAnsiTheme="minorEastAsia" w:eastAsiaTheme="minorEastAsia" w:cstheme="minorEastAsia"/>
          <w:bCs/>
          <w:position w:val="-26"/>
          <w:sz w:val="24"/>
        </w:rPr>
        <w:object>
          <v:shape id="_x0000_i1038" o:spt="75" type="#_x0000_t75" style="height:51.2pt;width:131.95pt;" o:ole="t" filled="f" o:preferrelative="t" stroked="f" coordsize="21600,21600">
            <v:path/>
            <v:fill on="f" focussize="0,0"/>
            <v:stroke on="f" joinstyle="miter"/>
            <v:imagedata r:id="rId45" o:title=""/>
            <o:lock v:ext="edit" aspectratio="t"/>
            <w10:wrap type="none"/>
            <w10:anchorlock/>
          </v:shape>
          <o:OLEObject Type="Embed" ProgID="Equation.KSEE3" ShapeID="_x0000_i1038" DrawAspect="Content" ObjectID="_1468075738" r:id="rId44">
            <o:LockedField>false</o:LockedField>
          </o:OLEObject>
        </w:object>
      </w:r>
      <w:r>
        <w:rPr>
          <w:rFonts w:hint="eastAsia" w:asciiTheme="minorEastAsia" w:hAnsiTheme="minorEastAsia" w:eastAsiaTheme="minorEastAsia" w:cstheme="minorEastAsia"/>
          <w:bCs/>
          <w:sz w:val="24"/>
        </w:rPr>
        <w:t>，</w:t>
      </w:r>
      <w:r>
        <w:rPr>
          <w:rFonts w:hint="eastAsia" w:asciiTheme="minorEastAsia" w:hAnsiTheme="minorEastAsia" w:eastAsiaTheme="minorEastAsia" w:cstheme="minorEastAsia"/>
          <w:position w:val="-6"/>
          <w:sz w:val="24"/>
        </w:rPr>
        <w:object>
          <v:shape id="_x0000_i1039" o:spt="75" type="#_x0000_t75" style="height:17.05pt;width:64.9pt;" o:ole="t" filled="f" o:preferrelative="t" stroked="f" coordsize="21600,21600">
            <v:path/>
            <v:fill on="f" focussize="0,0"/>
            <v:stroke on="f" joinstyle="miter"/>
            <v:imagedata r:id="rId47" o:title=""/>
            <o:lock v:ext="edit" aspectratio="t"/>
            <w10:wrap type="none"/>
            <w10:anchorlock/>
          </v:shape>
          <o:OLEObject Type="Embed" ProgID="Equation.KSEE3" ShapeID="_x0000_i1039" DrawAspect="Content" ObjectID="_1468075739" r:id="rId46">
            <o:LockedField>false</o:LockedField>
          </o:OLEObject>
        </w:object>
      </w:r>
    </w:p>
    <w:p w14:paraId="0E83EF53">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bCs/>
          <w:sz w:val="24"/>
        </w:rPr>
        <w:t>则：</w:t>
      </w:r>
      <w:r>
        <w:rPr>
          <w:rFonts w:hint="eastAsia" w:asciiTheme="minorEastAsia" w:hAnsiTheme="minorEastAsia" w:eastAsiaTheme="minorEastAsia" w:cstheme="minorEastAsia"/>
          <w:color w:val="000000"/>
          <w:sz w:val="24"/>
        </w:rPr>
        <w:t>被校直流电压表测量重复性引入的标准不确定度</w:t>
      </w:r>
      <w:r>
        <w:rPr>
          <w:rFonts w:hint="eastAsia" w:asciiTheme="minorEastAsia" w:hAnsiTheme="minorEastAsia" w:eastAsiaTheme="minorEastAsia" w:cstheme="minorEastAsia"/>
          <w:color w:val="000000"/>
          <w:position w:val="-14"/>
          <w:sz w:val="24"/>
        </w:rPr>
        <w:object>
          <v:shape id="_x0000_i1040" o:spt="75" type="#_x0000_t75" style="height:20.8pt;width:77.85pt;" o:ole="t" filled="f" o:preferrelative="t" stroked="f" coordsize="21600,21600">
            <v:path/>
            <v:fill on="f" focussize="0,0"/>
            <v:stroke on="f" joinstyle="miter"/>
            <v:imagedata r:id="rId49" o:title=""/>
            <o:lock v:ext="edit" aspectratio="t"/>
            <w10:wrap type="none"/>
            <w10:anchorlock/>
          </v:shape>
          <o:OLEObject Type="Embed" ProgID="Equation.KSEE3" ShapeID="_x0000_i1040" DrawAspect="Content" ObjectID="_1468075740" r:id="rId48">
            <o:LockedField>false</o:LockedField>
          </o:OLEObject>
        </w:object>
      </w:r>
      <w:r>
        <w:rPr>
          <w:rFonts w:hint="eastAsia" w:asciiTheme="minorEastAsia" w:hAnsiTheme="minorEastAsia" w:eastAsiaTheme="minorEastAsia" w:cstheme="minorEastAsia"/>
          <w:color w:val="000000"/>
          <w:sz w:val="24"/>
        </w:rPr>
        <w:t>。</w:t>
      </w:r>
    </w:p>
    <w:p w14:paraId="4D94704B">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4.1.2被校</w:t>
      </w:r>
      <w:r>
        <w:rPr>
          <w:rFonts w:hint="eastAsia" w:asciiTheme="minorEastAsia" w:hAnsiTheme="minorEastAsia" w:eastAsiaTheme="minorEastAsia" w:cstheme="minorEastAsia"/>
          <w:sz w:val="24"/>
        </w:rPr>
        <w:t>直流电压表</w:t>
      </w:r>
      <w:r>
        <w:rPr>
          <w:rFonts w:hint="eastAsia" w:asciiTheme="minorEastAsia" w:hAnsiTheme="minorEastAsia" w:eastAsiaTheme="minorEastAsia" w:cstheme="minorEastAsia"/>
          <w:color w:val="000000"/>
          <w:sz w:val="24"/>
        </w:rPr>
        <w:t>的分辨力为0.1V，按均匀分布，取包含因子</w:t>
      </w:r>
      <w:r>
        <w:rPr>
          <w:rFonts w:hint="eastAsia" w:asciiTheme="minorEastAsia" w:hAnsiTheme="minorEastAsia" w:eastAsiaTheme="minorEastAsia" w:cstheme="minorEastAsia"/>
          <w:color w:val="000000"/>
          <w:position w:val="-8"/>
          <w:sz w:val="24"/>
        </w:rPr>
        <w:object>
          <v:shape id="_x0000_i1041" o:spt="75" type="#_x0000_t75" style="height:17.9pt;width:36.2pt;" o:ole="t" filled="f" o:preferrelative="t" stroked="f" coordsize="21600,21600">
            <v:path/>
            <v:fill on="f" focussize="0,0"/>
            <v:stroke on="f" joinstyle="miter"/>
            <v:imagedata r:id="rId51" o:title=""/>
            <o:lock v:ext="edit" aspectratio="t"/>
            <w10:wrap type="none"/>
            <w10:anchorlock/>
          </v:shape>
          <o:OLEObject Type="Embed" ProgID="Equation.KSEE3" ShapeID="_x0000_i1041" DrawAspect="Content" ObjectID="_1468075741" r:id="rId50">
            <o:LockedField>false</o:LockedField>
          </o:OLEObject>
        </w:object>
      </w:r>
      <w:r>
        <w:rPr>
          <w:rFonts w:hint="eastAsia" w:asciiTheme="minorEastAsia" w:hAnsiTheme="minorEastAsia" w:eastAsiaTheme="minorEastAsia" w:cstheme="minorEastAsia"/>
          <w:color w:val="000000"/>
          <w:sz w:val="24"/>
        </w:rPr>
        <w:t>，</w:t>
      </w:r>
    </w:p>
    <w:p w14:paraId="1A2F9392">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则：直流电压表分辨力引入的标准不确定度</w:t>
      </w:r>
      <w:r>
        <w:rPr>
          <w:rFonts w:hint="eastAsia" w:asciiTheme="minorEastAsia" w:hAnsiTheme="minorEastAsia" w:eastAsiaTheme="minorEastAsia" w:cstheme="minorEastAsia"/>
          <w:color w:val="000000"/>
          <w:position w:val="-28"/>
          <w:sz w:val="24"/>
        </w:rPr>
        <w:object>
          <v:shape id="_x0000_i1042" o:spt="75" type="#_x0000_t75" style="height:32.9pt;width:119.85pt;" o:ole="t" filled="f" o:preferrelative="t" stroked="f" coordsize="21600,21600">
            <v:path/>
            <v:fill on="f" focussize="0,0"/>
            <v:stroke on="f" joinstyle="miter"/>
            <v:imagedata r:id="rId53" o:title=""/>
            <o:lock v:ext="edit" aspectratio="t"/>
            <w10:wrap type="none"/>
            <w10:anchorlock/>
          </v:shape>
          <o:OLEObject Type="Embed" ProgID="Equation.KSEE3" ShapeID="_x0000_i1042" DrawAspect="Content" ObjectID="_1468075742" r:id="rId52">
            <o:LockedField>false</o:LockedField>
          </o:OLEObject>
        </w:object>
      </w:r>
      <w:r>
        <w:rPr>
          <w:rFonts w:hint="eastAsia" w:asciiTheme="minorEastAsia" w:hAnsiTheme="minorEastAsia" w:eastAsiaTheme="minorEastAsia" w:cstheme="minorEastAsia"/>
          <w:color w:val="000000"/>
          <w:sz w:val="24"/>
        </w:rPr>
        <w:t>。</w:t>
      </w:r>
    </w:p>
    <w:p w14:paraId="02CC275B">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测量重复性引入的标准不确定度和分辨力引入的标准不确定度，二者取其大，</w:t>
      </w:r>
    </w:p>
    <w:p w14:paraId="50C84068">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故</w:t>
      </w:r>
      <w:r>
        <w:rPr>
          <w:rFonts w:hint="eastAsia" w:asciiTheme="minorEastAsia" w:hAnsiTheme="minorEastAsia" w:eastAsiaTheme="minorEastAsia" w:cstheme="minorEastAsia"/>
          <w:color w:val="000000"/>
          <w:position w:val="-10"/>
          <w:sz w:val="24"/>
        </w:rPr>
        <w:object>
          <v:shape id="_x0000_i1043" o:spt="75" type="#_x0000_t75" style="height:17.05pt;width:57.85pt;" o:ole="t" filled="f" o:preferrelative="t" stroked="f" coordsize="21600,21600">
            <v:path/>
            <v:fill on="f" focussize="0,0"/>
            <v:stroke on="f" joinstyle="miter"/>
            <v:imagedata r:id="rId55" o:title=""/>
            <o:lock v:ext="edit" aspectratio="t"/>
            <w10:wrap type="none"/>
            <w10:anchorlock/>
          </v:shape>
          <o:OLEObject Type="Embed" ProgID="Equation.KSEE3" ShapeID="_x0000_i1043" DrawAspect="Content" ObjectID="_1468075743" r:id="rId54">
            <o:LockedField>false</o:LockedField>
          </o:OLEObject>
        </w:object>
      </w:r>
    </w:p>
    <w:p w14:paraId="4B650018">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4.2 由标准电压表</w:t>
      </w:r>
      <w:r>
        <w:rPr>
          <w:rFonts w:hint="eastAsia" w:asciiTheme="minorEastAsia" w:hAnsiTheme="minorEastAsia" w:eastAsiaTheme="minorEastAsia" w:cstheme="minorEastAsia"/>
          <w:color w:val="000000"/>
          <w:sz w:val="24"/>
        </w:rPr>
        <w:t>引入的标准不确定度</w:t>
      </w:r>
      <w:r>
        <w:rPr>
          <w:rFonts w:hint="eastAsia" w:asciiTheme="minorEastAsia" w:hAnsiTheme="minorEastAsia" w:eastAsiaTheme="minorEastAsia" w:cstheme="minorEastAsia"/>
          <w:color w:val="000000"/>
          <w:position w:val="-14"/>
          <w:sz w:val="24"/>
        </w:rPr>
        <w:object>
          <v:shape id="_x0000_i1044" o:spt="75" type="#_x0000_t75" style="height:19.15pt;width:19.15pt;" o:ole="t" filled="f" o:preferrelative="t" stroked="f" coordsize="21600,21600">
            <v:path/>
            <v:fill on="f" focussize="0,0"/>
            <v:stroke on="f" joinstyle="miter"/>
            <v:imagedata r:id="rId57" o:title=""/>
            <o:lock v:ext="edit" aspectratio="t"/>
            <w10:wrap type="none"/>
            <w10:anchorlock/>
          </v:shape>
          <o:OLEObject Type="Embed" ProgID="Equation.KSEE3" ShapeID="_x0000_i1044" DrawAspect="Content" ObjectID="_1468075744" r:id="rId56">
            <o:LockedField>false</o:LockedField>
          </o:OLEObject>
        </w:object>
      </w:r>
    </w:p>
    <w:p w14:paraId="70D4A6DE">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4.2.1与被校表同时记录的6次标准电压表的示值:120.09V、120.06V、120.10V、120.17V、120.01V、120.18V、,计算</w:t>
      </w:r>
      <w:r>
        <w:rPr>
          <w:rFonts w:hint="eastAsia" w:asciiTheme="minorEastAsia" w:hAnsiTheme="minorEastAsia" w:eastAsiaTheme="minorEastAsia" w:cstheme="minorEastAsia"/>
          <w:bCs/>
          <w:sz w:val="24"/>
        </w:rPr>
        <w:t>平均值的实验标准偏差</w:t>
      </w:r>
      <w:r>
        <w:rPr>
          <w:rFonts w:hint="eastAsia" w:asciiTheme="minorEastAsia" w:hAnsiTheme="minorEastAsia" w:eastAsiaTheme="minorEastAsia" w:cstheme="minorEastAsia"/>
          <w:bCs/>
          <w:position w:val="-6"/>
          <w:sz w:val="24"/>
        </w:rPr>
        <w:object>
          <v:shape id="_x0000_i1045" o:spt="75" type="#_x0000_t75" style="height:17.05pt;width:7.9pt;" o:ole="t" filled="f" o:preferrelative="t" stroked="f" coordsize="21600,21600">
            <v:path/>
            <v:fill on="f" focussize="0,0"/>
            <v:stroke on="f" joinstyle="miter"/>
            <v:imagedata r:id="rId59" o:title=""/>
            <o:lock v:ext="edit" aspectratio="t"/>
            <w10:wrap type="none"/>
            <w10:anchorlock/>
          </v:shape>
          <o:OLEObject Type="Embed" ProgID="Equation.KSEE3" ShapeID="_x0000_i1045" DrawAspect="Content" ObjectID="_1468075745" r:id="rId58">
            <o:LockedField>false</o:LockedField>
          </o:OLEObject>
        </w:object>
      </w:r>
      <w:r>
        <w:rPr>
          <w:rFonts w:hint="eastAsia" w:asciiTheme="minorEastAsia" w:hAnsiTheme="minorEastAsia" w:eastAsiaTheme="minorEastAsia" w:cstheme="minorEastAsia"/>
          <w:bCs/>
          <w:sz w:val="24"/>
        </w:rPr>
        <w:t>，</w:t>
      </w:r>
    </w:p>
    <w:p w14:paraId="5BF6FE28">
      <w:pPr>
        <w:spacing w:line="360" w:lineRule="auto"/>
        <w:ind w:firstLine="480" w:firstLineChars="200"/>
        <w:rPr>
          <w:rFonts w:asciiTheme="minorEastAsia" w:hAnsiTheme="minorEastAsia" w:eastAsiaTheme="minorEastAsia" w:cstheme="minorEastAsia"/>
          <w:bCs/>
          <w:sz w:val="24"/>
        </w:rPr>
      </w:pPr>
      <w:r>
        <w:rPr>
          <w:rFonts w:hint="eastAsia" w:asciiTheme="minorEastAsia" w:hAnsiTheme="minorEastAsia" w:eastAsiaTheme="minorEastAsia" w:cstheme="minorEastAsia"/>
          <w:bCs/>
          <w:position w:val="-26"/>
          <w:sz w:val="24"/>
        </w:rPr>
        <w:object>
          <v:shape id="_x0000_i1046" o:spt="75" type="#_x0000_t75" style="height:51.2pt;width:131.1pt;" o:ole="t" filled="f" o:preferrelative="t" stroked="f" coordsize="21600,21600">
            <v:path/>
            <v:fill on="f" focussize="0,0"/>
            <v:stroke on="f" joinstyle="miter"/>
            <v:imagedata r:id="rId61" o:title=""/>
            <o:lock v:ext="edit" aspectratio="t"/>
            <w10:wrap type="none"/>
            <w10:anchorlock/>
          </v:shape>
          <o:OLEObject Type="Embed" ProgID="Equation.KSEE3" ShapeID="_x0000_i1046" DrawAspect="Content" ObjectID="_1468075746" r:id="rId60">
            <o:LockedField>false</o:LockedField>
          </o:OLEObject>
        </w:object>
      </w:r>
      <w:r>
        <w:rPr>
          <w:rFonts w:hint="eastAsia" w:asciiTheme="minorEastAsia" w:hAnsiTheme="minorEastAsia" w:eastAsiaTheme="minorEastAsia" w:cstheme="minorEastAsia"/>
          <w:bCs/>
          <w:sz w:val="24"/>
        </w:rPr>
        <w:t>，</w:t>
      </w:r>
      <w:r>
        <w:rPr>
          <w:rFonts w:hint="eastAsia" w:asciiTheme="minorEastAsia" w:hAnsiTheme="minorEastAsia" w:eastAsiaTheme="minorEastAsia" w:cstheme="minorEastAsia"/>
          <w:position w:val="-12"/>
          <w:sz w:val="24"/>
        </w:rPr>
        <w:object>
          <v:shape id="_x0000_i1047" o:spt="75" type="#_x0000_t75" style="height:20pt;width:69.9pt;" o:ole="t" filled="f" o:preferrelative="t" stroked="f" coordsize="21600,21600">
            <v:path/>
            <v:fill on="f" focussize="0,0"/>
            <v:stroke on="f" joinstyle="miter"/>
            <v:imagedata r:id="rId63" o:title=""/>
            <o:lock v:ext="edit" aspectratio="t"/>
            <w10:wrap type="none"/>
            <w10:anchorlock/>
          </v:shape>
          <o:OLEObject Type="Embed" ProgID="Equation.KSEE3" ShapeID="_x0000_i1047" DrawAspect="Content" ObjectID="_1468075747" r:id="rId62">
            <o:LockedField>false</o:LockedField>
          </o:OLEObject>
        </w:object>
      </w:r>
    </w:p>
    <w:p w14:paraId="20C1FD2B">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bCs/>
          <w:sz w:val="24"/>
        </w:rPr>
        <w:t>则：</w:t>
      </w:r>
      <w:r>
        <w:rPr>
          <w:rFonts w:hint="eastAsia" w:asciiTheme="minorEastAsia" w:hAnsiTheme="minorEastAsia" w:eastAsiaTheme="minorEastAsia" w:cstheme="minorEastAsia"/>
          <w:color w:val="000000"/>
          <w:sz w:val="24"/>
        </w:rPr>
        <w:t>标准电压表测量重复性引入的标准不确定度</w:t>
      </w:r>
      <w:r>
        <w:rPr>
          <w:rFonts w:hint="eastAsia" w:asciiTheme="minorEastAsia" w:hAnsiTheme="minorEastAsia" w:eastAsiaTheme="minorEastAsia" w:cstheme="minorEastAsia"/>
          <w:color w:val="000000"/>
          <w:position w:val="-14"/>
          <w:sz w:val="24"/>
        </w:rPr>
        <w:object>
          <v:shape id="_x0000_i1048" o:spt="75" type="#_x0000_t75" style="height:20.8pt;width:79.9pt;" o:ole="t" filled="f" o:preferrelative="t" stroked="f" coordsize="21600,21600">
            <v:path/>
            <v:fill on="f" focussize="0,0"/>
            <v:stroke on="f" joinstyle="miter"/>
            <v:imagedata r:id="rId65" o:title=""/>
            <o:lock v:ext="edit" aspectratio="t"/>
            <w10:wrap type="none"/>
            <w10:anchorlock/>
          </v:shape>
          <o:OLEObject Type="Embed" ProgID="Equation.KSEE3" ShapeID="_x0000_i1048" DrawAspect="Content" ObjectID="_1468075748" r:id="rId64">
            <o:LockedField>false</o:LockedField>
          </o:OLEObject>
        </w:object>
      </w:r>
      <w:r>
        <w:rPr>
          <w:rFonts w:hint="eastAsia" w:asciiTheme="minorEastAsia" w:hAnsiTheme="minorEastAsia" w:eastAsiaTheme="minorEastAsia" w:cstheme="minorEastAsia"/>
          <w:color w:val="000000"/>
          <w:sz w:val="24"/>
        </w:rPr>
        <w:t>。</w:t>
      </w:r>
    </w:p>
    <w:p w14:paraId="177613FB">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4.2.2 标准电压表经上级计量机构量值传递，确认其最大允许误差为±0.05%，按均匀分布，取包含因子</w:t>
      </w:r>
      <w:r>
        <w:rPr>
          <w:rFonts w:hint="eastAsia" w:asciiTheme="minorEastAsia" w:hAnsiTheme="minorEastAsia" w:eastAsiaTheme="minorEastAsia" w:cstheme="minorEastAsia"/>
          <w:color w:val="000000"/>
          <w:position w:val="-8"/>
          <w:sz w:val="24"/>
        </w:rPr>
        <w:object>
          <v:shape id="_x0000_i1049" o:spt="75" type="#_x0000_t75" style="height:17.9pt;width:36.2pt;" o:ole="t" filled="f" o:preferrelative="t" stroked="f" coordsize="21600,21600">
            <v:path/>
            <v:fill on="f" focussize="0,0"/>
            <v:stroke on="f" joinstyle="miter"/>
            <v:imagedata r:id="rId51" o:title=""/>
            <o:lock v:ext="edit" aspectratio="t"/>
            <w10:wrap type="none"/>
            <w10:anchorlock/>
          </v:shape>
          <o:OLEObject Type="Embed" ProgID="Equation.KSEE3" ShapeID="_x0000_i1049" DrawAspect="Content" ObjectID="_1468075749" r:id="rId66">
            <o:LockedField>false</o:LockedField>
          </o:OLEObject>
        </w:object>
      </w:r>
      <w:r>
        <w:rPr>
          <w:rFonts w:hint="eastAsia" w:asciiTheme="minorEastAsia" w:hAnsiTheme="minorEastAsia" w:eastAsiaTheme="minorEastAsia" w:cstheme="minorEastAsia"/>
          <w:color w:val="000000"/>
          <w:sz w:val="24"/>
        </w:rPr>
        <w:t>，则：标准电压表最大允许误差引入的标准不确定度</w:t>
      </w:r>
      <w:r>
        <w:rPr>
          <w:rFonts w:hint="eastAsia" w:asciiTheme="minorEastAsia" w:hAnsiTheme="minorEastAsia" w:eastAsiaTheme="minorEastAsia" w:cstheme="minorEastAsia"/>
          <w:color w:val="000000"/>
          <w:position w:val="-28"/>
          <w:sz w:val="24"/>
        </w:rPr>
        <w:object>
          <v:shape id="_x0000_i1050" o:spt="75" type="#_x0000_t75" style="height:32.9pt;width:156.05pt;" o:ole="t" filled="f" o:preferrelative="t" stroked="f" coordsize="21600,21600">
            <v:path/>
            <v:fill on="f" focussize="0,0"/>
            <v:stroke on="f" joinstyle="miter"/>
            <v:imagedata r:id="rId68" o:title=""/>
            <o:lock v:ext="edit" aspectratio="t"/>
            <w10:wrap type="none"/>
            <w10:anchorlock/>
          </v:shape>
          <o:OLEObject Type="Embed" ProgID="Equation.KSEE3" ShapeID="_x0000_i1050" DrawAspect="Content" ObjectID="_1468075750" r:id="rId67">
            <o:LockedField>false</o:LockedField>
          </o:OLEObject>
        </w:object>
      </w:r>
      <w:r>
        <w:rPr>
          <w:rFonts w:hint="eastAsia" w:asciiTheme="minorEastAsia" w:hAnsiTheme="minorEastAsia" w:eastAsiaTheme="minorEastAsia" w:cstheme="minorEastAsia"/>
          <w:color w:val="000000"/>
          <w:sz w:val="24"/>
        </w:rPr>
        <w:t>。</w:t>
      </w:r>
    </w:p>
    <w:p w14:paraId="3969BA71">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4.2.3标准电压表的分辨力为0.01V，按均匀分布，取包含因子</w:t>
      </w:r>
      <w:r>
        <w:rPr>
          <w:rFonts w:hint="eastAsia" w:asciiTheme="minorEastAsia" w:hAnsiTheme="minorEastAsia" w:eastAsiaTheme="minorEastAsia" w:cstheme="minorEastAsia"/>
          <w:color w:val="000000"/>
          <w:position w:val="-8"/>
          <w:sz w:val="24"/>
        </w:rPr>
        <w:object>
          <v:shape id="_x0000_i1051" o:spt="75" type="#_x0000_t75" style="height:17.9pt;width:36.2pt;" o:ole="t" filled="f" o:preferrelative="t" stroked="f" coordsize="21600,21600">
            <v:path/>
            <v:fill on="f" focussize="0,0"/>
            <v:stroke on="f" joinstyle="miter"/>
            <v:imagedata r:id="rId51" o:title=""/>
            <o:lock v:ext="edit" aspectratio="t"/>
            <w10:wrap type="none"/>
            <w10:anchorlock/>
          </v:shape>
          <o:OLEObject Type="Embed" ProgID="Equation.KSEE3" ShapeID="_x0000_i1051" DrawAspect="Content" ObjectID="_1468075751" r:id="rId69">
            <o:LockedField>false</o:LockedField>
          </o:OLEObject>
        </w:object>
      </w:r>
      <w:r>
        <w:rPr>
          <w:rFonts w:hint="eastAsia" w:asciiTheme="minorEastAsia" w:hAnsiTheme="minorEastAsia" w:eastAsiaTheme="minorEastAsia" w:cstheme="minorEastAsia"/>
          <w:color w:val="000000"/>
          <w:sz w:val="24"/>
        </w:rPr>
        <w:t>，则：由</w:t>
      </w:r>
      <w:r>
        <w:rPr>
          <w:rFonts w:hint="eastAsia" w:asciiTheme="minorEastAsia" w:hAnsiTheme="minorEastAsia" w:eastAsiaTheme="minorEastAsia" w:cstheme="minorEastAsia"/>
          <w:sz w:val="24"/>
        </w:rPr>
        <w:t>标准电压表</w:t>
      </w:r>
      <w:r>
        <w:rPr>
          <w:rFonts w:hint="eastAsia" w:asciiTheme="minorEastAsia" w:hAnsiTheme="minorEastAsia" w:eastAsiaTheme="minorEastAsia" w:cstheme="minorEastAsia"/>
          <w:color w:val="000000"/>
          <w:sz w:val="24"/>
        </w:rPr>
        <w:t>的分辨力引入的标准不确定度</w:t>
      </w:r>
      <w:r>
        <w:rPr>
          <w:rFonts w:hint="eastAsia" w:asciiTheme="minorEastAsia" w:hAnsiTheme="minorEastAsia" w:eastAsiaTheme="minorEastAsia" w:cstheme="minorEastAsia"/>
          <w:color w:val="000000"/>
          <w:position w:val="-28"/>
          <w:sz w:val="24"/>
        </w:rPr>
        <w:object>
          <v:shape id="_x0000_i1052" o:spt="75" type="#_x0000_t75" style="height:32.9pt;width:128.2pt;" o:ole="t" filled="f" o:preferrelative="t" stroked="f" coordsize="21600,21600">
            <v:path/>
            <v:fill on="f" focussize="0,0"/>
            <v:stroke on="f" joinstyle="miter"/>
            <v:imagedata r:id="rId71" o:title=""/>
            <o:lock v:ext="edit" aspectratio="t"/>
            <w10:wrap type="none"/>
            <w10:anchorlock/>
          </v:shape>
          <o:OLEObject Type="Embed" ProgID="Equation.KSEE3" ShapeID="_x0000_i1052" DrawAspect="Content" ObjectID="_1468075752" r:id="rId70">
            <o:LockedField>false</o:LockedField>
          </o:OLEObject>
        </w:object>
      </w:r>
      <w:r>
        <w:rPr>
          <w:rFonts w:hint="eastAsia" w:asciiTheme="minorEastAsia" w:hAnsiTheme="minorEastAsia" w:eastAsiaTheme="minorEastAsia" w:cstheme="minorEastAsia"/>
          <w:color w:val="000000"/>
          <w:sz w:val="24"/>
        </w:rPr>
        <w:t>。</w:t>
      </w:r>
    </w:p>
    <w:p w14:paraId="4ED4A2A3">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测量重复性引入的标准不确定度和分辨力引入的标准不确定度，二者取其大，</w:t>
      </w:r>
    </w:p>
    <w:p w14:paraId="778B951C">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故舍去</w:t>
      </w:r>
      <w:r>
        <w:rPr>
          <w:rFonts w:hint="eastAsia" w:asciiTheme="minorEastAsia" w:hAnsiTheme="minorEastAsia" w:eastAsiaTheme="minorEastAsia" w:cstheme="minorEastAsia"/>
          <w:color w:val="000000"/>
          <w:position w:val="-14"/>
          <w:sz w:val="24"/>
        </w:rPr>
        <w:object>
          <v:shape id="_x0000_i1053" o:spt="75" type="#_x0000_t75" style="height:19.15pt;width:20.8pt;" o:ole="t" filled="f" o:preferrelative="t" stroked="f" coordsize="21600,21600">
            <v:path/>
            <v:fill on="f" focussize="0,0"/>
            <v:stroke on="f" joinstyle="miter"/>
            <v:imagedata r:id="rId73" o:title=""/>
            <o:lock v:ext="edit" aspectratio="t"/>
            <w10:wrap type="none"/>
            <w10:anchorlock/>
          </v:shape>
          <o:OLEObject Type="Embed" ProgID="Equation.KSEE3" ShapeID="_x0000_i1053" DrawAspect="Content" ObjectID="_1468075753" r:id="rId72">
            <o:LockedField>false</o:LockedField>
          </o:OLEObject>
        </w:object>
      </w:r>
      <w:r>
        <w:rPr>
          <w:rFonts w:hint="eastAsia" w:asciiTheme="minorEastAsia" w:hAnsiTheme="minorEastAsia" w:eastAsiaTheme="minorEastAsia" w:cstheme="minorEastAsia"/>
          <w:color w:val="000000"/>
          <w:sz w:val="24"/>
        </w:rPr>
        <w:t>。</w:t>
      </w:r>
    </w:p>
    <w:p w14:paraId="165C01BC">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5、合成标准不确定度的评定</w:t>
      </w:r>
    </w:p>
    <w:p w14:paraId="69365ECC">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5.1不确定度分析一览表</w:t>
      </w:r>
    </w:p>
    <w:tbl>
      <w:tblPr>
        <w:tblStyle w:val="11"/>
        <w:tblW w:w="8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865"/>
        <w:gridCol w:w="1350"/>
        <w:gridCol w:w="2280"/>
      </w:tblGrid>
      <w:tr w14:paraId="2A6D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2357" w:type="dxa"/>
            <w:vAlign w:val="center"/>
          </w:tcPr>
          <w:p w14:paraId="524C0E02">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标准不确定度</w:t>
            </w:r>
          </w:p>
        </w:tc>
        <w:tc>
          <w:tcPr>
            <w:tcW w:w="2865" w:type="dxa"/>
            <w:vAlign w:val="center"/>
          </w:tcPr>
          <w:p w14:paraId="77786E29">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不确定度来源</w:t>
            </w:r>
          </w:p>
        </w:tc>
        <w:tc>
          <w:tcPr>
            <w:tcW w:w="1350" w:type="dxa"/>
            <w:vAlign w:val="center"/>
          </w:tcPr>
          <w:p w14:paraId="5F6A5D36">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灵敏系数</w:t>
            </w:r>
          </w:p>
        </w:tc>
        <w:tc>
          <w:tcPr>
            <w:tcW w:w="2280" w:type="dxa"/>
            <w:vAlign w:val="center"/>
          </w:tcPr>
          <w:p w14:paraId="71EA5999">
            <w:pPr>
              <w:spacing w:line="360" w:lineRule="auto"/>
              <w:jc w:val="center"/>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lang w:eastAsia="zh-CN"/>
              </w:rPr>
              <w:t>不确定度</w:t>
            </w:r>
          </w:p>
        </w:tc>
      </w:tr>
      <w:tr w14:paraId="0C41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1" w:hRule="atLeast"/>
        </w:trPr>
        <w:tc>
          <w:tcPr>
            <w:tcW w:w="2357" w:type="dxa"/>
            <w:vAlign w:val="center"/>
          </w:tcPr>
          <w:p w14:paraId="1E8C5993">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被校直流电压表引入的标准不确定度</w:t>
            </w:r>
          </w:p>
        </w:tc>
        <w:tc>
          <w:tcPr>
            <w:tcW w:w="2865" w:type="dxa"/>
            <w:vAlign w:val="center"/>
          </w:tcPr>
          <w:p w14:paraId="4A00C1B3">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被校直流电压表测量重复性引入的标准不确定度</w:t>
            </w:r>
          </w:p>
        </w:tc>
        <w:tc>
          <w:tcPr>
            <w:tcW w:w="1350" w:type="dxa"/>
            <w:vAlign w:val="center"/>
          </w:tcPr>
          <w:p w14:paraId="3CBE11F1">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position w:val="-10"/>
                <w:sz w:val="24"/>
              </w:rPr>
              <w:object>
                <v:shape id="_x0000_i1054" o:spt="75" type="#_x0000_t75" style="height:12.9pt;width:57pt;" o:ole="t" filled="f" o:preferrelative="t" stroked="f" coordsize="21600,21600">
                  <v:path/>
                  <v:fill on="f" focussize="0,0"/>
                  <v:stroke on="f" joinstyle="miter"/>
                  <v:imagedata r:id="rId75" o:title=""/>
                  <o:lock v:ext="edit" aspectratio="t"/>
                  <w10:wrap type="none"/>
                  <w10:anchorlock/>
                </v:shape>
                <o:OLEObject Type="Embed" ProgID="Equation.3" ShapeID="_x0000_i1054" DrawAspect="Content" ObjectID="_1468075754" r:id="rId74">
                  <o:LockedField>false</o:LockedField>
                </o:OLEObject>
              </w:object>
            </w:r>
          </w:p>
        </w:tc>
        <w:tc>
          <w:tcPr>
            <w:tcW w:w="2280" w:type="dxa"/>
            <w:vAlign w:val="center"/>
          </w:tcPr>
          <w:p w14:paraId="07BEB041">
            <w:pPr>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position w:val="-10"/>
                <w:sz w:val="24"/>
              </w:rPr>
              <w:object>
                <v:shape id="_x0000_i1055" o:spt="75" type="#_x0000_t75" style="height:17.05pt;width:57.85pt;" o:ole="t" filled="f" o:preferrelative="t" stroked="f" coordsize="21600,21600">
                  <v:path/>
                  <v:fill on="f" focussize="0,0"/>
                  <v:stroke on="f" joinstyle="miter"/>
                  <v:imagedata r:id="rId77" o:title=""/>
                  <o:lock v:ext="edit" aspectratio="t"/>
                  <w10:wrap type="none"/>
                  <w10:anchorlock/>
                </v:shape>
                <o:OLEObject Type="Embed" ProgID="Equation.KSEE3" ShapeID="_x0000_i1055" DrawAspect="Content" ObjectID="_1468075755" r:id="rId76">
                  <o:LockedField>false</o:LockedField>
                </o:OLEObject>
              </w:object>
            </w:r>
          </w:p>
        </w:tc>
      </w:tr>
      <w:tr w14:paraId="4831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357" w:type="dxa"/>
            <w:vMerge w:val="restart"/>
            <w:vAlign w:val="center"/>
          </w:tcPr>
          <w:p w14:paraId="60DB7018">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由标准电压表</w:t>
            </w:r>
            <w:r>
              <w:rPr>
                <w:rFonts w:hint="eastAsia" w:asciiTheme="minorEastAsia" w:hAnsiTheme="minorEastAsia" w:eastAsiaTheme="minorEastAsia" w:cstheme="minorEastAsia"/>
                <w:color w:val="000000"/>
                <w:sz w:val="24"/>
              </w:rPr>
              <w:t>引入的标准不确定度</w:t>
            </w:r>
          </w:p>
        </w:tc>
        <w:tc>
          <w:tcPr>
            <w:tcW w:w="2865" w:type="dxa"/>
            <w:vAlign w:val="center"/>
          </w:tcPr>
          <w:p w14:paraId="63E3D1C8">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标准电压表测量重复性引入的标准不确定度</w:t>
            </w:r>
          </w:p>
        </w:tc>
        <w:tc>
          <w:tcPr>
            <w:tcW w:w="1350" w:type="dxa"/>
            <w:vMerge w:val="restart"/>
            <w:vAlign w:val="center"/>
          </w:tcPr>
          <w:p w14:paraId="2A7042D0">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position w:val="-10"/>
                <w:sz w:val="24"/>
              </w:rPr>
              <w:object>
                <v:shape id="_x0000_i1056" o:spt="75" type="#_x0000_t75" style="height:12.9pt;width:61.2pt;" o:ole="t" filled="f" o:preferrelative="t" stroked="f" coordsize="21600,21600">
                  <v:path/>
                  <v:fill on="f" focussize="0,0"/>
                  <v:stroke on="f" joinstyle="miter"/>
                  <v:imagedata r:id="rId79" o:title=""/>
                  <o:lock v:ext="edit" aspectratio="t"/>
                  <w10:wrap type="none"/>
                  <w10:anchorlock/>
                </v:shape>
                <o:OLEObject Type="Embed" ProgID="Equation.3" ShapeID="_x0000_i1056" DrawAspect="Content" ObjectID="_1468075756" r:id="rId78">
                  <o:LockedField>false</o:LockedField>
                </o:OLEObject>
              </w:object>
            </w:r>
          </w:p>
        </w:tc>
        <w:tc>
          <w:tcPr>
            <w:tcW w:w="2280" w:type="dxa"/>
            <w:vMerge w:val="restart"/>
            <w:vAlign w:val="center"/>
          </w:tcPr>
          <w:p w14:paraId="15A68C73">
            <w:pPr>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position w:val="-14"/>
                <w:sz w:val="24"/>
              </w:rPr>
              <w:object>
                <v:shape id="_x0000_i1057" o:spt="75" type="#_x0000_t75" style="height:19.15pt;width:62pt;" o:ole="t" filled="f" o:preferrelative="t" stroked="f" coordsize="21600,21600">
                  <v:path/>
                  <v:fill on="f" focussize="0,0"/>
                  <v:stroke on="f" joinstyle="miter"/>
                  <v:imagedata r:id="rId81" o:title=""/>
                  <o:lock v:ext="edit" aspectratio="t"/>
                  <w10:wrap type="none"/>
                  <w10:anchorlock/>
                </v:shape>
                <o:OLEObject Type="Embed" ProgID="Equation.KSEE3" ShapeID="_x0000_i1057" DrawAspect="Content" ObjectID="_1468075757" r:id="rId80">
                  <o:LockedField>false</o:LockedField>
                </o:OLEObject>
              </w:object>
            </w:r>
          </w:p>
        </w:tc>
      </w:tr>
      <w:tr w14:paraId="776C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357" w:type="dxa"/>
            <w:vMerge w:val="continue"/>
            <w:vAlign w:val="center"/>
          </w:tcPr>
          <w:p w14:paraId="79A19F8E">
            <w:pPr>
              <w:spacing w:line="360" w:lineRule="auto"/>
              <w:jc w:val="center"/>
              <w:rPr>
                <w:rFonts w:asciiTheme="minorEastAsia" w:hAnsiTheme="minorEastAsia" w:eastAsiaTheme="minorEastAsia" w:cstheme="minorEastAsia"/>
                <w:sz w:val="24"/>
              </w:rPr>
            </w:pPr>
          </w:p>
        </w:tc>
        <w:tc>
          <w:tcPr>
            <w:tcW w:w="2865" w:type="dxa"/>
            <w:vAlign w:val="center"/>
          </w:tcPr>
          <w:p w14:paraId="03A1A64D">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标准电压表最大允许误差引入的标准不确定度</w:t>
            </w:r>
          </w:p>
        </w:tc>
        <w:tc>
          <w:tcPr>
            <w:tcW w:w="1350" w:type="dxa"/>
            <w:vMerge w:val="continue"/>
            <w:vAlign w:val="center"/>
          </w:tcPr>
          <w:p w14:paraId="3618128F">
            <w:pPr>
              <w:spacing w:line="360" w:lineRule="auto"/>
              <w:jc w:val="center"/>
              <w:rPr>
                <w:rFonts w:asciiTheme="minorEastAsia" w:hAnsiTheme="minorEastAsia" w:eastAsiaTheme="minorEastAsia" w:cstheme="minorEastAsia"/>
                <w:color w:val="000000"/>
                <w:sz w:val="24"/>
              </w:rPr>
            </w:pPr>
          </w:p>
        </w:tc>
        <w:tc>
          <w:tcPr>
            <w:tcW w:w="2280" w:type="dxa"/>
            <w:vMerge w:val="continue"/>
            <w:vAlign w:val="center"/>
          </w:tcPr>
          <w:p w14:paraId="28F93983">
            <w:pPr>
              <w:spacing w:line="360" w:lineRule="auto"/>
              <w:jc w:val="center"/>
              <w:rPr>
                <w:rFonts w:asciiTheme="minorEastAsia" w:hAnsiTheme="minorEastAsia" w:eastAsiaTheme="minorEastAsia" w:cstheme="minorEastAsia"/>
                <w:color w:val="000000"/>
                <w:sz w:val="24"/>
              </w:rPr>
            </w:pPr>
          </w:p>
        </w:tc>
      </w:tr>
    </w:tbl>
    <w:p w14:paraId="5196C2E3">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5.2 合成标准不确定度</w:t>
      </w:r>
    </w:p>
    <w:p w14:paraId="27EEADAF">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position w:val="-16"/>
          <w:sz w:val="24"/>
        </w:rPr>
        <w:object>
          <v:shape id="_x0000_i1058" o:spt="75" type="#_x0000_t75" style="height:27.45pt;width:174.8pt;" o:ole="t" filled="f" o:preferrelative="t" stroked="f" coordsize="21600,21600">
            <v:path/>
            <v:fill on="f" focussize="0,0"/>
            <v:stroke on="f" joinstyle="miter"/>
            <v:imagedata r:id="rId83" o:title=""/>
            <o:lock v:ext="edit" aspectratio="t"/>
            <w10:wrap type="none"/>
            <w10:anchorlock/>
          </v:shape>
          <o:OLEObject Type="Embed" ProgID="Equation.KSEE3" ShapeID="_x0000_i1058" DrawAspect="Content" ObjectID="_1468075758" r:id="rId82">
            <o:LockedField>false</o:LockedField>
          </o:OLEObject>
        </w:object>
      </w:r>
      <w:r>
        <w:rPr>
          <w:rFonts w:hint="eastAsia" w:asciiTheme="minorEastAsia" w:hAnsiTheme="minorEastAsia" w:eastAsiaTheme="minorEastAsia" w:cstheme="minorEastAsia"/>
          <w:color w:val="000000"/>
          <w:sz w:val="24"/>
        </w:rPr>
        <w:t>。</w:t>
      </w:r>
    </w:p>
    <w:p w14:paraId="1A1F7651">
      <w:pPr>
        <w:spacing w:line="360" w:lineRule="auto"/>
        <w:rPr>
          <w:rFonts w:asciiTheme="minorEastAsia" w:hAnsiTheme="minorEastAsia" w:eastAsiaTheme="minorEastAsia" w:cstheme="minorEastAsia"/>
          <w:color w:val="000000"/>
          <w:sz w:val="24"/>
        </w:rPr>
      </w:pPr>
    </w:p>
    <w:p w14:paraId="227E70EF">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1.</w:t>
      </w:r>
      <w:r>
        <w:rPr>
          <w:rFonts w:hint="eastAsia" w:asciiTheme="minorEastAsia" w:hAnsiTheme="minorEastAsia" w:eastAsiaTheme="minorEastAsia" w:cstheme="minorEastAsia"/>
          <w:color w:val="000000"/>
          <w:sz w:val="24"/>
        </w:rPr>
        <w:t>6、扩展不确定度</w:t>
      </w:r>
    </w:p>
    <w:p w14:paraId="548EEA0A">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取包含因子</w:t>
      </w:r>
      <w:r>
        <w:rPr>
          <w:rFonts w:hint="eastAsia" w:asciiTheme="minorEastAsia" w:hAnsiTheme="minorEastAsia" w:eastAsiaTheme="minorEastAsia" w:cstheme="minorEastAsia"/>
          <w:i/>
          <w:iCs/>
          <w:sz w:val="24"/>
        </w:rPr>
        <w:t>k</w:t>
      </w:r>
      <w:r>
        <w:rPr>
          <w:rFonts w:hint="eastAsia" w:asciiTheme="minorEastAsia" w:hAnsiTheme="minorEastAsia" w:eastAsiaTheme="minorEastAsia" w:cstheme="minorEastAsia"/>
          <w:sz w:val="24"/>
        </w:rPr>
        <w:t>=2，则扩展不确定度为：</w:t>
      </w:r>
    </w:p>
    <w:p w14:paraId="03CFB2CE">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position w:val="-12"/>
          <w:sz w:val="24"/>
        </w:rPr>
        <w:object>
          <v:shape id="_x0000_i1059" o:spt="75" type="#_x0000_t75" style="height:20.8pt;width:146.9pt;" o:ole="t" filled="f" o:preferrelative="t" stroked="f" coordsize="21600,21600">
            <v:path/>
            <v:fill on="f" focussize="0,0"/>
            <v:stroke on="f" joinstyle="miter"/>
            <v:imagedata r:id="rId85" o:title=""/>
            <o:lock v:ext="edit" aspectratio="t"/>
            <w10:wrap type="none"/>
            <w10:anchorlock/>
          </v:shape>
          <o:OLEObject Type="Embed" ProgID="Equation.KSEE3" ShapeID="_x0000_i1059" DrawAspect="Content" ObjectID="_1468075759" r:id="rId84">
            <o:LockedField>false</o:LockedField>
          </o:OLEObject>
        </w:object>
      </w:r>
      <w:r>
        <w:rPr>
          <w:rFonts w:hint="eastAsia" w:asciiTheme="minorEastAsia" w:hAnsiTheme="minorEastAsia" w:eastAsiaTheme="minorEastAsia" w:cstheme="minorEastAsia"/>
          <w:color w:val="000000"/>
          <w:sz w:val="24"/>
        </w:rPr>
        <w:t>。</w:t>
      </w:r>
    </w:p>
    <w:p w14:paraId="4A1C47FB">
      <w:pPr>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br w:type="page"/>
      </w:r>
    </w:p>
    <w:p w14:paraId="2510475E">
      <w:pPr>
        <w:spacing w:line="360" w:lineRule="auto"/>
        <w:ind w:firstLine="480" w:firstLineChars="200"/>
        <w:rPr>
          <w:rFonts w:hint="eastAsia" w:asciiTheme="minorEastAsia" w:hAnsiTheme="minorEastAsia" w:eastAsiaTheme="minorEastAsia" w:cstheme="minorEastAsia"/>
          <w:color w:val="000000"/>
          <w:sz w:val="24"/>
        </w:rPr>
      </w:pPr>
    </w:p>
    <w:p w14:paraId="18CA8F05">
      <w:pPr>
        <w:spacing w:line="360" w:lineRule="auto"/>
        <w:jc w:val="center"/>
        <w:rPr>
          <w:rFonts w:hint="eastAsia" w:asciiTheme="minorEastAsia" w:hAnsiTheme="minorEastAsia" w:eastAsiaTheme="minorEastAsia" w:cstheme="minorEastAsia"/>
          <w:color w:val="FF0000"/>
          <w:sz w:val="24"/>
          <w:lang w:val="en-US" w:eastAsia="zh-CN"/>
        </w:rPr>
      </w:pPr>
      <w:r>
        <w:rPr>
          <w:rFonts w:hint="eastAsia" w:asciiTheme="minorEastAsia" w:hAnsiTheme="minorEastAsia" w:eastAsiaTheme="minorEastAsia" w:cstheme="minorEastAsia"/>
          <w:color w:val="FF0000"/>
          <w:sz w:val="24"/>
          <w:lang w:val="en-US" w:eastAsia="zh-CN"/>
        </w:rPr>
        <w:t>电能参量的示值误差的测量结果不确定度评定</w:t>
      </w:r>
    </w:p>
    <w:p w14:paraId="4F2D95D2">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2.1</w:t>
      </w:r>
      <w:r>
        <w:rPr>
          <w:rFonts w:hint="eastAsia" w:asciiTheme="minorEastAsia" w:hAnsiTheme="minorEastAsia" w:eastAsiaTheme="minorEastAsia" w:cstheme="minorEastAsia"/>
          <w:sz w:val="24"/>
        </w:rPr>
        <w:t>、概述</w:t>
      </w:r>
    </w:p>
    <w:p w14:paraId="714DDBFE">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.1</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 xml:space="preserve">  测量环境： 环境温度：2</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color w:val="000000"/>
          <w:sz w:val="24"/>
        </w:rPr>
        <w:t>；</w:t>
      </w:r>
    </w:p>
    <w:p w14:paraId="580A74DD">
      <w:pPr>
        <w:spacing w:line="360" w:lineRule="auto"/>
        <w:ind w:firstLine="2160" w:firstLineChars="900"/>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sz w:val="24"/>
        </w:rPr>
        <w:t>相对湿度：</w:t>
      </w:r>
      <w:r>
        <w:rPr>
          <w:rFonts w:hint="eastAsia" w:asciiTheme="minorEastAsia" w:hAnsiTheme="minorEastAsia" w:eastAsiaTheme="minorEastAsia" w:cstheme="minorEastAsia"/>
          <w:color w:val="000000"/>
          <w:sz w:val="24"/>
          <w:lang w:val="en-US" w:eastAsia="zh-CN"/>
        </w:rPr>
        <w:t>36</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eastAsia="zh-CN"/>
        </w:rPr>
        <w:t>。</w:t>
      </w:r>
    </w:p>
    <w:p w14:paraId="171E60DF">
      <w:pPr>
        <w:spacing w:line="360" w:lineRule="auto"/>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2.1</w:t>
      </w:r>
      <w:r>
        <w:rPr>
          <w:rFonts w:hint="eastAsia" w:asciiTheme="minorEastAsia" w:hAnsiTheme="minorEastAsia" w:eastAsiaTheme="minorEastAsia" w:cstheme="minorEastAsia"/>
          <w:sz w:val="24"/>
        </w:rPr>
        <w:t>.2  测量标准：</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kern w:val="0"/>
          <w:sz w:val="24"/>
          <w:lang w:eastAsia="zh-CN"/>
        </w:rPr>
        <w:t>。</w:t>
      </w:r>
    </w:p>
    <w:p w14:paraId="6DDE66F7">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3  测量对象：</w:t>
      </w:r>
      <w:r>
        <w:rPr>
          <w:rFonts w:hint="eastAsia" w:asciiTheme="minorEastAsia" w:hAnsiTheme="minorEastAsia" w:eastAsiaTheme="minorEastAsia" w:cstheme="minorEastAsia"/>
          <w:sz w:val="24"/>
          <w:lang w:eastAsia="zh-CN"/>
        </w:rPr>
        <w:t>电子式电能表</w:t>
      </w:r>
      <w:r>
        <w:rPr>
          <w:rFonts w:hint="eastAsia" w:asciiTheme="minorEastAsia" w:hAnsiTheme="minorEastAsia" w:eastAsiaTheme="minorEastAsia" w:cstheme="minorEastAsia"/>
          <w:sz w:val="24"/>
        </w:rPr>
        <w:t>。</w:t>
      </w:r>
    </w:p>
    <w:p w14:paraId="1A915DA1">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4  测量方法：</w:t>
      </w:r>
    </w:p>
    <w:p w14:paraId="034A83C5">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依据本规范的校准方法，对工作中的</w:t>
      </w:r>
      <w:r>
        <w:rPr>
          <w:rFonts w:hint="eastAsia" w:asciiTheme="minorEastAsia" w:hAnsiTheme="minorEastAsia" w:eastAsiaTheme="minorEastAsia" w:cstheme="minorEastAsia"/>
          <w:sz w:val="24"/>
          <w:lang w:eastAsia="zh-CN"/>
        </w:rPr>
        <w:t>电子式电能表的有功电能部分</w:t>
      </w:r>
      <w:r>
        <w:rPr>
          <w:rFonts w:hint="eastAsia" w:asciiTheme="minorEastAsia" w:hAnsiTheme="minorEastAsia" w:eastAsiaTheme="minorEastAsia" w:cstheme="minorEastAsia"/>
          <w:sz w:val="24"/>
        </w:rPr>
        <w:t>进行校准</w:t>
      </w:r>
      <w:r>
        <w:rPr>
          <w:rFonts w:hint="eastAsia" w:asciiTheme="minorEastAsia" w:hAnsiTheme="minorEastAsia" w:eastAsiaTheme="minorEastAsia" w:cstheme="minorEastAsia"/>
          <w:color w:val="000000"/>
          <w:sz w:val="24"/>
        </w:rPr>
        <w:t>，记录</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sz w:val="24"/>
        </w:rPr>
        <w:t>的数值</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sz w:val="24"/>
        </w:rPr>
        <w:t>并进行不确定度分析。</w:t>
      </w:r>
    </w:p>
    <w:p w14:paraId="35DF9326">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2、数学模型</w:t>
      </w:r>
    </w:p>
    <w:p w14:paraId="3F217EE3">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position w:val="-10"/>
          <w:sz w:val="24"/>
        </w:rPr>
        <w:object>
          <v:shape id="_x0000_i1060" o:spt="75" type="#_x0000_t75" style="height:17.5pt;width:66pt;" o:ole="t" filled="f" o:preferrelative="t" stroked="f" coordsize="21600,21600">
            <v:path/>
            <v:fill on="f" focussize="0,0"/>
            <v:stroke on="f"/>
            <v:imagedata r:id="rId87" o:title=""/>
            <o:lock v:ext="edit" aspectratio="t"/>
            <w10:wrap type="none"/>
            <w10:anchorlock/>
          </v:shape>
          <o:OLEObject Type="Embed" ProgID="Equation.KSEE3" ShapeID="_x0000_i1060" DrawAspect="Content" ObjectID="_1468075760" r:id="rId86">
            <o:LockedField>false</o:LockedField>
          </o:OLEObject>
        </w:object>
      </w:r>
    </w:p>
    <w:p w14:paraId="572A8D6B">
      <w:pPr>
        <w:pStyle w:val="4"/>
        <w:spacing w:before="156" w:beforeLines="50" w:line="360" w:lineRule="auto"/>
        <w:ind w:right="25" w:rightChars="1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式中： </w:t>
      </w:r>
      <w:r>
        <w:rPr>
          <w:rFonts w:hint="eastAsia" w:asciiTheme="minorEastAsia" w:hAnsiTheme="minorEastAsia" w:eastAsiaTheme="minorEastAsia" w:cstheme="minorEastAsia"/>
          <w:position w:val="-4"/>
          <w:sz w:val="24"/>
          <w:szCs w:val="24"/>
        </w:rPr>
        <w:object>
          <v:shape id="_x0000_i1061" o:spt="75" type="#_x0000_t75" style="height:12.9pt;width:10.8pt;" o:ole="t" filled="f" o:preferrelative="t" stroked="f" coordsize="21600,21600">
            <v:path/>
            <v:fill on="f" focussize="0,0"/>
            <v:stroke on="f" joinstyle="miter"/>
            <v:imagedata r:id="rId20" o:title=""/>
            <o:lock v:ext="edit" aspectratio="t"/>
            <w10:wrap type="none"/>
            <w10:anchorlock/>
          </v:shape>
          <o:OLEObject Type="Embed" ProgID="Equation.KSEE3" ShapeID="_x0000_i1061" DrawAspect="Content" ObjectID="_1468075761" r:id="rId88">
            <o:LockedField>false</o:LockedField>
          </o:OLEObject>
        </w:objec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lang w:eastAsia="zh-CN"/>
        </w:rPr>
        <w:t>电子式电能表</w:t>
      </w:r>
      <w:r>
        <w:rPr>
          <w:rFonts w:hint="eastAsia" w:asciiTheme="minorEastAsia" w:hAnsiTheme="minorEastAsia" w:eastAsiaTheme="minorEastAsia" w:cstheme="minorEastAsia"/>
          <w:sz w:val="24"/>
          <w:szCs w:val="24"/>
        </w:rPr>
        <w:t>的相对示值误差，%；</w:t>
      </w:r>
    </w:p>
    <w:p w14:paraId="4ECADB63">
      <w:pPr>
        <w:pStyle w:val="4"/>
        <w:spacing w:before="156" w:beforeLines="50" w:line="360" w:lineRule="auto"/>
        <w:ind w:right="25" w:rightChars="12"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position w:val="-10"/>
          <w:sz w:val="24"/>
          <w:szCs w:val="24"/>
        </w:rPr>
        <w:object>
          <v:shape id="_x0000_i1062" o:spt="75" type="#_x0000_t75" style="height:18.8pt;width:9.95pt;" o:ole="t" filled="f" o:preferrelative="t" stroked="f" coordsize="21600,21600">
            <v:path/>
            <v:fill on="f" focussize="0,0"/>
            <v:stroke on="f"/>
            <v:imagedata r:id="rId90" o:title=""/>
            <o:lock v:ext="edit" aspectratio="t"/>
            <w10:wrap type="none"/>
            <w10:anchorlock/>
          </v:shape>
          <o:OLEObject Type="Embed" ProgID="Equation.KSEE3" ShapeID="_x0000_i1062" DrawAspect="Content" ObjectID="_1468075762" r:id="rId89">
            <o:LockedField>false</o:LockedField>
          </o:OLEObject>
        </w:objec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kern w:val="0"/>
          <w:sz w:val="24"/>
          <w:lang w:eastAsia="zh-CN"/>
        </w:rPr>
        <w:t>的</w:t>
      </w:r>
      <w:r>
        <w:rPr>
          <w:rFonts w:hint="eastAsia" w:asciiTheme="minorEastAsia" w:hAnsiTheme="minorEastAsia" w:eastAsiaTheme="minorEastAsia" w:cstheme="minorEastAsia"/>
          <w:sz w:val="24"/>
          <w:szCs w:val="24"/>
        </w:rPr>
        <w:t>测量平均值</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w:t>
      </w:r>
    </w:p>
    <w:p w14:paraId="2FC19160">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3、方差和灵敏系数</w:t>
      </w:r>
    </w:p>
    <w:p w14:paraId="75A72183">
      <w:pPr>
        <w:spacing w:line="360" w:lineRule="auto"/>
        <w:ind w:firstLine="480" w:firstLineChars="200"/>
        <w:rPr>
          <w:rFonts w:asciiTheme="minorEastAsia" w:hAnsiTheme="minorEastAsia" w:eastAsiaTheme="minorEastAsia" w:cstheme="minorEastAsia"/>
          <w:sz w:val="24"/>
          <w:vertAlign w:val="superscript"/>
        </w:rPr>
      </w:pPr>
      <w:r>
        <w:rPr>
          <w:rFonts w:hint="eastAsia" w:asciiTheme="minorEastAsia" w:hAnsiTheme="minorEastAsia" w:eastAsiaTheme="minorEastAsia" w:cstheme="minorEastAsia"/>
          <w:sz w:val="24"/>
          <w:vertAlign w:val="superscript"/>
        </w:rPr>
        <w:t xml:space="preserve"> </w:t>
      </w:r>
      <w:r>
        <w:rPr>
          <w:rFonts w:hint="eastAsia" w:asciiTheme="minorEastAsia" w:hAnsiTheme="minorEastAsia" w:eastAsiaTheme="minorEastAsia" w:cstheme="minorEastAsia"/>
          <w:position w:val="-16"/>
          <w:sz w:val="24"/>
          <w:vertAlign w:val="superscript"/>
        </w:rPr>
        <w:object>
          <v:shape id="_x0000_i1063" o:spt="75" type="#_x0000_t75" style="height:26.7pt;width:62.25pt;" o:ole="t" filled="f" o:preferrelative="t" stroked="f" coordsize="21600,21600">
            <v:path/>
            <v:fill on="f" focussize="0,0"/>
            <v:stroke on="f"/>
            <v:imagedata r:id="rId92" o:title=""/>
            <o:lock v:ext="edit" aspectratio="t"/>
            <w10:wrap type="none"/>
            <w10:anchorlock/>
          </v:shape>
          <o:OLEObject Type="Embed" ProgID="Equation.KSEE3" ShapeID="_x0000_i1063" DrawAspect="Content" ObjectID="_1468075763" r:id="rId91">
            <o:LockedField>false</o:LockedField>
          </o:OLEObject>
        </w:object>
      </w:r>
      <w:r>
        <w:rPr>
          <w:rFonts w:hint="eastAsia" w:asciiTheme="minorEastAsia" w:hAnsiTheme="minorEastAsia" w:eastAsiaTheme="minorEastAsia" w:cstheme="minorEastAsia"/>
          <w:sz w:val="24"/>
        </w:rPr>
        <w:t>；</w:t>
      </w:r>
    </w:p>
    <w:p w14:paraId="38778FAD">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position w:val="-10"/>
          <w:sz w:val="24"/>
        </w:rPr>
        <w:object>
          <v:shape id="_x0000_i1064" o:spt="75" type="#_x0000_t75" style="height:22.9pt;width:98pt;" o:ole="t" filled="f" o:preferrelative="t" stroked="f" coordsize="21600,21600">
            <v:path/>
            <v:fill on="f" focussize="0,0"/>
            <v:stroke on="f"/>
            <v:imagedata r:id="rId94" o:title=""/>
            <o:lock v:ext="edit" aspectratio="t"/>
            <w10:wrap type="none"/>
            <w10:anchorlock/>
          </v:shape>
          <o:OLEObject Type="Embed" ProgID="Equation.3" ShapeID="_x0000_i1064" DrawAspect="Content" ObjectID="_1468075764" r:id="rId93">
            <o:LockedField>false</o:LockedField>
          </o:OLEObject>
        </w:object>
      </w:r>
      <w:r>
        <w:rPr>
          <w:rFonts w:hint="eastAsia" w:asciiTheme="minorEastAsia" w:hAnsiTheme="minorEastAsia" w:eastAsiaTheme="minorEastAsia" w:cstheme="minorEastAsia"/>
          <w:sz w:val="24"/>
        </w:rPr>
        <w:t xml:space="preserve"> ； </w:t>
      </w:r>
    </w:p>
    <w:p w14:paraId="2EC72041">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4、标准不确定度评定</w:t>
      </w:r>
    </w:p>
    <w:p w14:paraId="3320B96A">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2.</w:t>
      </w:r>
      <w:r>
        <w:rPr>
          <w:rFonts w:hint="eastAsia" w:asciiTheme="minorEastAsia" w:hAnsiTheme="minorEastAsia" w:eastAsiaTheme="minorEastAsia" w:cstheme="minorEastAsia"/>
          <w:color w:val="000000"/>
          <w:sz w:val="24"/>
        </w:rPr>
        <w:t xml:space="preserve">4.1 </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kern w:val="0"/>
          <w:sz w:val="24"/>
          <w:lang w:eastAsia="zh-CN"/>
        </w:rPr>
        <w:t>测量过程中</w:t>
      </w:r>
      <w:r>
        <w:rPr>
          <w:rFonts w:hint="eastAsia" w:asciiTheme="minorEastAsia" w:hAnsiTheme="minorEastAsia" w:eastAsiaTheme="minorEastAsia" w:cstheme="minorEastAsia"/>
          <w:color w:val="000000"/>
          <w:sz w:val="24"/>
        </w:rPr>
        <w:t>的标准不确定度</w:t>
      </w:r>
      <w:r>
        <w:rPr>
          <w:rFonts w:hint="eastAsia" w:asciiTheme="minorEastAsia" w:hAnsiTheme="minorEastAsia" w:eastAsiaTheme="minorEastAsia" w:cstheme="minorEastAsia"/>
          <w:color w:val="000000"/>
          <w:position w:val="-16"/>
          <w:sz w:val="24"/>
        </w:rPr>
        <w:object>
          <v:shape id="_x0000_i1065" o:spt="75" type="#_x0000_t75" style="height:20.15pt;width:13.95pt;" o:ole="t" filled="f" o:preferrelative="t" stroked="f" coordsize="21600,21600">
            <v:path/>
            <v:fill on="f" focussize="0,0"/>
            <v:stroke on="f"/>
            <v:imagedata r:id="rId96" o:title=""/>
            <o:lock v:ext="edit" aspectratio="t"/>
            <w10:wrap type="none"/>
            <w10:anchorlock/>
          </v:shape>
          <o:OLEObject Type="Embed" ProgID="Equation.KSEE3" ShapeID="_x0000_i1065" DrawAspect="Content" ObjectID="_1468075765" r:id="rId95">
            <o:LockedField>false</o:LockedField>
          </o:OLEObject>
        </w:object>
      </w:r>
    </w:p>
    <w:p w14:paraId="4EF15511">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2.</w:t>
      </w:r>
      <w:r>
        <w:rPr>
          <w:rFonts w:hint="eastAsia" w:asciiTheme="minorEastAsia" w:hAnsiTheme="minorEastAsia" w:eastAsiaTheme="minorEastAsia" w:cstheme="minorEastAsia"/>
          <w:color w:val="000000"/>
          <w:sz w:val="24"/>
        </w:rPr>
        <w:t>4.1.1在线测得的</w:t>
      </w:r>
      <w:r>
        <w:rPr>
          <w:rFonts w:hint="eastAsia" w:asciiTheme="minorEastAsia" w:hAnsiTheme="minorEastAsia" w:eastAsiaTheme="minorEastAsia" w:cstheme="minorEastAsia"/>
          <w:color w:val="000000"/>
          <w:sz w:val="24"/>
          <w:lang w:eastAsia="zh-CN"/>
        </w:rPr>
        <w:t>电能示值误差</w:t>
      </w:r>
      <w:r>
        <w:rPr>
          <w:rFonts w:hint="eastAsia" w:asciiTheme="minorEastAsia" w:hAnsiTheme="minorEastAsia" w:eastAsiaTheme="minorEastAsia" w:cstheme="minorEastAsia"/>
          <w:color w:val="000000"/>
          <w:sz w:val="24"/>
        </w:rPr>
        <w:t>比较稳定，在相同环境条件下，重复测量6次，记录</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kern w:val="0"/>
          <w:sz w:val="24"/>
          <w:lang w:eastAsia="zh-CN"/>
        </w:rPr>
        <w:t>测得</w:t>
      </w:r>
      <w:r>
        <w:rPr>
          <w:rFonts w:hint="eastAsia" w:asciiTheme="minorEastAsia" w:hAnsiTheme="minorEastAsia" w:eastAsiaTheme="minorEastAsia" w:cstheme="minorEastAsia"/>
          <w:color w:val="000000"/>
          <w:sz w:val="24"/>
        </w:rPr>
        <w:t>的示值：</w:t>
      </w:r>
      <w:r>
        <w:rPr>
          <w:rFonts w:hint="eastAsia" w:asciiTheme="minorEastAsia" w:hAnsiTheme="minorEastAsia" w:eastAsiaTheme="minorEastAsia" w:cstheme="minorEastAsia"/>
          <w:color w:val="000000"/>
          <w:sz w:val="24"/>
          <w:lang w:val="en-US" w:eastAsia="zh-CN"/>
        </w:rPr>
        <w:t>0.300%</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val="en-US" w:eastAsia="zh-CN"/>
        </w:rPr>
        <w:t>0.267%</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val="en-US" w:eastAsia="zh-CN"/>
        </w:rPr>
        <w:t>0.247%</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val="en-US" w:eastAsia="zh-CN"/>
        </w:rPr>
        <w:t>0.317%</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val="en-US" w:eastAsia="zh-CN"/>
        </w:rPr>
        <w:t>0.334%</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sz w:val="24"/>
          <w:lang w:val="en-US" w:eastAsia="zh-CN"/>
        </w:rPr>
        <w:t>0.250%</w:t>
      </w:r>
      <w:r>
        <w:rPr>
          <w:rFonts w:hint="eastAsia" w:asciiTheme="minorEastAsia" w:hAnsiTheme="minorEastAsia" w:eastAsiaTheme="minorEastAsia" w:cstheme="minorEastAsia"/>
          <w:color w:val="000000"/>
          <w:sz w:val="24"/>
        </w:rPr>
        <w:t>,计算</w:t>
      </w:r>
      <w:r>
        <w:rPr>
          <w:rFonts w:hint="eastAsia" w:asciiTheme="minorEastAsia" w:hAnsiTheme="minorEastAsia" w:eastAsiaTheme="minorEastAsia" w:cstheme="minorEastAsia"/>
          <w:bCs/>
          <w:sz w:val="24"/>
        </w:rPr>
        <w:t>平均值的实验标准偏差</w:t>
      </w:r>
      <w:r>
        <w:rPr>
          <w:rFonts w:hint="eastAsia" w:asciiTheme="minorEastAsia" w:hAnsiTheme="minorEastAsia" w:eastAsiaTheme="minorEastAsia" w:cstheme="minorEastAsia"/>
          <w:bCs/>
          <w:i/>
          <w:iCs/>
          <w:position w:val="-6"/>
          <w:sz w:val="24"/>
        </w:rPr>
        <w:object>
          <v:shape id="_x0000_i1066" o:spt="75" type="#_x0000_t75" style="height:17.05pt;width:9.15pt;" o:ole="t" filled="f" o:preferrelative="t" stroked="f" coordsize="21600,21600">
            <v:path/>
            <v:fill on="f" focussize="0,0"/>
            <v:stroke on="f" joinstyle="miter"/>
            <v:imagedata r:id="rId43" o:title=""/>
            <o:lock v:ext="edit" aspectratio="t"/>
            <w10:wrap type="none"/>
            <w10:anchorlock/>
          </v:shape>
          <o:OLEObject Type="Embed" ProgID="Equation.KSEE3" ShapeID="_x0000_i1066" DrawAspect="Content" ObjectID="_1468075766" r:id="rId97">
            <o:LockedField>false</o:LockedField>
          </o:OLEObject>
        </w:object>
      </w:r>
      <w:r>
        <w:rPr>
          <w:rFonts w:hint="eastAsia" w:asciiTheme="minorEastAsia" w:hAnsiTheme="minorEastAsia" w:eastAsiaTheme="minorEastAsia" w:cstheme="minorEastAsia"/>
          <w:bCs/>
          <w:sz w:val="24"/>
        </w:rPr>
        <w:t>，</w:t>
      </w:r>
      <w:r>
        <w:rPr>
          <w:rFonts w:hint="eastAsia" w:asciiTheme="minorEastAsia" w:hAnsiTheme="minorEastAsia" w:eastAsiaTheme="minorEastAsia" w:cstheme="minorEastAsia"/>
          <w:bCs/>
          <w:position w:val="-26"/>
          <w:sz w:val="24"/>
        </w:rPr>
        <w:object>
          <v:shape id="_x0000_i1067" o:spt="75" type="#_x0000_t75" style="height:51.2pt;width:132.95pt;" o:ole="t" filled="f" o:preferrelative="t" stroked="f" coordsize="21600,21600">
            <v:path/>
            <v:fill on="f" focussize="0,0"/>
            <v:stroke on="f"/>
            <v:imagedata r:id="rId99" o:title=""/>
            <o:lock v:ext="edit" aspectratio="t"/>
            <w10:wrap type="none"/>
            <w10:anchorlock/>
          </v:shape>
          <o:OLEObject Type="Embed" ProgID="Equation.KSEE3" ShapeID="_x0000_i1067" DrawAspect="Content" ObjectID="_1468075767" r:id="rId98">
            <o:LockedField>false</o:LockedField>
          </o:OLEObject>
        </w:object>
      </w:r>
      <w:r>
        <w:rPr>
          <w:rFonts w:hint="eastAsia" w:asciiTheme="minorEastAsia" w:hAnsiTheme="minorEastAsia" w:eastAsiaTheme="minorEastAsia" w:cstheme="minorEastAsia"/>
          <w:bCs/>
          <w:sz w:val="24"/>
        </w:rPr>
        <w:t>，</w:t>
      </w:r>
      <w:r>
        <w:rPr>
          <w:rFonts w:hint="eastAsia" w:asciiTheme="minorEastAsia" w:hAnsiTheme="minorEastAsia" w:eastAsiaTheme="minorEastAsia" w:cstheme="minorEastAsia"/>
          <w:position w:val="-10"/>
          <w:sz w:val="24"/>
        </w:rPr>
        <w:object>
          <v:shape id="_x0000_i1068" o:spt="75" type="#_x0000_t75" style="height:19.1pt;width:59pt;" o:ole="t" filled="f" o:preferrelative="t" stroked="f" coordsize="21600,21600">
            <v:path/>
            <v:fill on="f" focussize="0,0"/>
            <v:stroke on="f"/>
            <v:imagedata r:id="rId101" o:title=""/>
            <o:lock v:ext="edit" aspectratio="t"/>
            <w10:wrap type="none"/>
            <w10:anchorlock/>
          </v:shape>
          <o:OLEObject Type="Embed" ProgID="Equation.KSEE3" ShapeID="_x0000_i1068" DrawAspect="Content" ObjectID="_1468075768" r:id="rId100">
            <o:LockedField>false</o:LockedField>
          </o:OLEObject>
        </w:object>
      </w:r>
    </w:p>
    <w:p w14:paraId="315F54A0">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bCs/>
          <w:sz w:val="24"/>
        </w:rPr>
        <w:t>则：</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sz w:val="24"/>
        </w:rPr>
        <w:t>测量重复性引入的标准不确定度</w:t>
      </w:r>
      <w:r>
        <w:rPr>
          <w:rFonts w:hint="eastAsia" w:asciiTheme="minorEastAsia" w:hAnsiTheme="minorEastAsia" w:eastAsiaTheme="minorEastAsia" w:cstheme="minorEastAsia"/>
          <w:color w:val="000000"/>
          <w:position w:val="-14"/>
          <w:sz w:val="24"/>
        </w:rPr>
        <w:object>
          <v:shape id="_x0000_i1069" o:spt="75" type="#_x0000_t75" style="height:20.8pt;width:76.9pt;" o:ole="t" filled="f" o:preferrelative="t" stroked="f" coordsize="21600,21600">
            <v:path/>
            <v:fill on="f" focussize="0,0"/>
            <v:stroke on="f"/>
            <v:imagedata r:id="rId103" o:title=""/>
            <o:lock v:ext="edit" aspectratio="t"/>
            <w10:wrap type="none"/>
            <w10:anchorlock/>
          </v:shape>
          <o:OLEObject Type="Embed" ProgID="Equation.KSEE3" ShapeID="_x0000_i1069" DrawAspect="Content" ObjectID="_1468075769" r:id="rId102">
            <o:LockedField>false</o:LockedField>
          </o:OLEObject>
        </w:object>
      </w:r>
      <w:r>
        <w:rPr>
          <w:rFonts w:hint="eastAsia" w:asciiTheme="minorEastAsia" w:hAnsiTheme="minorEastAsia" w:eastAsiaTheme="minorEastAsia" w:cstheme="minorEastAsia"/>
          <w:color w:val="000000"/>
          <w:sz w:val="24"/>
        </w:rPr>
        <w:t>。</w:t>
      </w:r>
    </w:p>
    <w:p w14:paraId="6BA8163C">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2.</w:t>
      </w:r>
      <w:r>
        <w:rPr>
          <w:rFonts w:hint="eastAsia" w:asciiTheme="minorEastAsia" w:hAnsiTheme="minorEastAsia" w:eastAsiaTheme="minorEastAsia" w:cstheme="minorEastAsia"/>
          <w:color w:val="000000"/>
          <w:sz w:val="24"/>
        </w:rPr>
        <w:t>4.1.2</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sz w:val="24"/>
        </w:rPr>
        <w:t>的分辨力为0.</w:t>
      </w:r>
      <w:r>
        <w:rPr>
          <w:rFonts w:hint="eastAsia" w:asciiTheme="minorEastAsia" w:hAnsiTheme="minorEastAsia" w:eastAsiaTheme="minorEastAsia" w:cstheme="minorEastAsia"/>
          <w:color w:val="000000"/>
          <w:sz w:val="24"/>
          <w:lang w:val="en-US" w:eastAsia="zh-CN"/>
        </w:rPr>
        <w:t>001%</w:t>
      </w:r>
      <w:r>
        <w:rPr>
          <w:rFonts w:hint="eastAsia" w:asciiTheme="minorEastAsia" w:hAnsiTheme="minorEastAsia" w:eastAsiaTheme="minorEastAsia" w:cstheme="minorEastAsia"/>
          <w:color w:val="000000"/>
          <w:sz w:val="24"/>
        </w:rPr>
        <w:t>，按均匀分布，取包含因子</w:t>
      </w:r>
      <w:r>
        <w:rPr>
          <w:rFonts w:hint="eastAsia" w:asciiTheme="minorEastAsia" w:hAnsiTheme="minorEastAsia" w:eastAsiaTheme="minorEastAsia" w:cstheme="minorEastAsia"/>
          <w:color w:val="000000"/>
          <w:position w:val="-8"/>
          <w:sz w:val="24"/>
        </w:rPr>
        <w:object>
          <v:shape id="_x0000_i1070" o:spt="75" type="#_x0000_t75" style="height:17.9pt;width:36.2pt;" o:ole="t" filled="f" o:preferrelative="t" stroked="f" coordsize="21600,21600">
            <v:path/>
            <v:fill on="f" focussize="0,0"/>
            <v:stroke on="f" joinstyle="miter"/>
            <v:imagedata r:id="rId51" o:title=""/>
            <o:lock v:ext="edit" aspectratio="t"/>
            <w10:wrap type="none"/>
            <w10:anchorlock/>
          </v:shape>
          <o:OLEObject Type="Embed" ProgID="Equation.KSEE3" ShapeID="_x0000_i1070" DrawAspect="Content" ObjectID="_1468075770" r:id="rId104">
            <o:LockedField>false</o:LockedField>
          </o:OLEObject>
        </w:object>
      </w:r>
      <w:r>
        <w:rPr>
          <w:rFonts w:hint="eastAsia" w:asciiTheme="minorEastAsia" w:hAnsiTheme="minorEastAsia" w:eastAsiaTheme="minorEastAsia" w:cstheme="minorEastAsia"/>
          <w:color w:val="000000"/>
          <w:sz w:val="24"/>
        </w:rPr>
        <w:t>，</w:t>
      </w:r>
    </w:p>
    <w:p w14:paraId="084AFDFC">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则：</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sz w:val="24"/>
        </w:rPr>
        <w:t>分辨力引入的标准不确定度</w:t>
      </w:r>
      <w:r>
        <w:rPr>
          <w:rFonts w:hint="eastAsia" w:asciiTheme="minorEastAsia" w:hAnsiTheme="minorEastAsia" w:eastAsiaTheme="minorEastAsia" w:cstheme="minorEastAsia"/>
          <w:color w:val="000000"/>
          <w:position w:val="-28"/>
          <w:sz w:val="24"/>
        </w:rPr>
        <w:object>
          <v:shape id="_x0000_i1071" o:spt="75" type="#_x0000_t75" style="height:32.9pt;width:136.85pt;" o:ole="t" filled="f" o:preferrelative="t" stroked="f" coordsize="21600,21600">
            <v:path/>
            <v:fill on="f" focussize="0,0"/>
            <v:stroke on="f"/>
            <v:imagedata r:id="rId106" o:title=""/>
            <o:lock v:ext="edit" aspectratio="t"/>
            <w10:wrap type="none"/>
            <w10:anchorlock/>
          </v:shape>
          <o:OLEObject Type="Embed" ProgID="Equation.KSEE3" ShapeID="_x0000_i1071" DrawAspect="Content" ObjectID="_1468075771" r:id="rId105">
            <o:LockedField>false</o:LockedField>
          </o:OLEObject>
        </w:object>
      </w:r>
      <w:r>
        <w:rPr>
          <w:rFonts w:hint="eastAsia" w:asciiTheme="minorEastAsia" w:hAnsiTheme="minorEastAsia" w:eastAsiaTheme="minorEastAsia" w:cstheme="minorEastAsia"/>
          <w:color w:val="000000"/>
          <w:sz w:val="24"/>
        </w:rPr>
        <w:t>。</w:t>
      </w:r>
    </w:p>
    <w:p w14:paraId="65EAAA0D">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测量重复性引入的标准不确定度和分辨力引入的标准不确定度，二者取其大，</w:t>
      </w:r>
    </w:p>
    <w:p w14:paraId="0C155447">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故</w:t>
      </w:r>
      <w:r>
        <w:rPr>
          <w:rFonts w:hint="eastAsia" w:asciiTheme="minorEastAsia" w:hAnsiTheme="minorEastAsia" w:eastAsiaTheme="minorEastAsia" w:cstheme="minorEastAsia"/>
          <w:color w:val="000000"/>
          <w:position w:val="-16"/>
          <w:sz w:val="24"/>
        </w:rPr>
        <w:object>
          <v:shape id="_x0000_i1072" o:spt="75" type="#_x0000_t75" style="height:20.15pt;width:57.85pt;" o:ole="t" filled="f" o:preferrelative="t" stroked="f" coordsize="21600,21600">
            <v:path/>
            <v:fill on="f" focussize="0,0"/>
            <v:stroke on="f"/>
            <v:imagedata r:id="rId108" o:title=""/>
            <o:lock v:ext="edit" aspectratio="t"/>
            <w10:wrap type="none"/>
            <w10:anchorlock/>
          </v:shape>
          <o:OLEObject Type="Embed" ProgID="Equation.KSEE3" ShapeID="_x0000_i1072" DrawAspect="Content" ObjectID="_1468075772" r:id="rId107">
            <o:LockedField>false</o:LockedField>
          </o:OLEObject>
        </w:object>
      </w:r>
    </w:p>
    <w:p w14:paraId="6A63B39F">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4.2 由</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kern w:val="0"/>
          <w:sz w:val="24"/>
          <w:lang w:eastAsia="zh-CN"/>
        </w:rPr>
        <w:t>最大允许误差</w:t>
      </w:r>
      <w:r>
        <w:rPr>
          <w:rFonts w:hint="eastAsia" w:asciiTheme="minorEastAsia" w:hAnsiTheme="minorEastAsia" w:eastAsiaTheme="minorEastAsia" w:cstheme="minorEastAsia"/>
          <w:color w:val="000000"/>
          <w:sz w:val="24"/>
        </w:rPr>
        <w:t>引入的标准不确定度</w:t>
      </w:r>
      <w:r>
        <w:rPr>
          <w:rFonts w:hint="eastAsia" w:asciiTheme="minorEastAsia" w:hAnsiTheme="minorEastAsia" w:eastAsiaTheme="minorEastAsia" w:cstheme="minorEastAsia"/>
          <w:color w:val="000000"/>
          <w:position w:val="-14"/>
          <w:sz w:val="24"/>
        </w:rPr>
        <w:object>
          <v:shape id="_x0000_i1073" o:spt="75" type="#_x0000_t75" style="height:19.15pt;width:17.15pt;" o:ole="t" filled="f" o:preferrelative="t" stroked="f" coordsize="21600,21600">
            <v:path/>
            <v:fill on="f" focussize="0,0"/>
            <v:stroke on="f"/>
            <v:imagedata r:id="rId110" o:title=""/>
            <o:lock v:ext="edit" aspectratio="t"/>
            <w10:wrap type="none"/>
            <w10:anchorlock/>
          </v:shape>
          <o:OLEObject Type="Embed" ProgID="Equation.KSEE3" ShapeID="_x0000_i1073" DrawAspect="Content" ObjectID="_1468075773" r:id="rId109">
            <o:LockedField>false</o:LockedField>
          </o:OLEObject>
        </w:object>
      </w:r>
    </w:p>
    <w:p w14:paraId="7E50AA0A">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sz w:val="24"/>
        </w:rPr>
        <w:t>最大允许误差为±0.</w:t>
      </w:r>
      <w:r>
        <w:rPr>
          <w:rFonts w:hint="eastAsia" w:asciiTheme="minorEastAsia" w:hAnsiTheme="minorEastAsia" w:eastAsiaTheme="minorEastAsia" w:cstheme="minorEastAsia"/>
          <w:color w:val="000000"/>
          <w:sz w:val="24"/>
          <w:lang w:val="en-US" w:eastAsia="zh-CN"/>
        </w:rPr>
        <w:t>2</w:t>
      </w:r>
      <w:r>
        <w:rPr>
          <w:rFonts w:hint="eastAsia" w:asciiTheme="minorEastAsia" w:hAnsiTheme="minorEastAsia" w:eastAsiaTheme="minorEastAsia" w:cstheme="minorEastAsia"/>
          <w:color w:val="000000"/>
          <w:sz w:val="24"/>
        </w:rPr>
        <w:t>%，按均匀分布，取包含因子</w:t>
      </w:r>
      <w:r>
        <w:rPr>
          <w:rFonts w:hint="eastAsia" w:asciiTheme="minorEastAsia" w:hAnsiTheme="minorEastAsia" w:eastAsiaTheme="minorEastAsia" w:cstheme="minorEastAsia"/>
          <w:color w:val="000000"/>
          <w:position w:val="-8"/>
          <w:sz w:val="24"/>
        </w:rPr>
        <w:object>
          <v:shape id="_x0000_i1074" o:spt="75" type="#_x0000_t75" style="height:17.9pt;width:36.2pt;" o:ole="t" filled="f" o:preferrelative="t" stroked="f" coordsize="21600,21600">
            <v:path/>
            <v:fill on="f" focussize="0,0"/>
            <v:stroke on="f" joinstyle="miter"/>
            <v:imagedata r:id="rId51" o:title=""/>
            <o:lock v:ext="edit" aspectratio="t"/>
            <w10:wrap type="none"/>
            <w10:anchorlock/>
          </v:shape>
          <o:OLEObject Type="Embed" ProgID="Equation.KSEE3" ShapeID="_x0000_i1074" DrawAspect="Content" ObjectID="_1468075774" r:id="rId111">
            <o:LockedField>false</o:LockedField>
          </o:OLEObject>
        </w:object>
      </w:r>
      <w:r>
        <w:rPr>
          <w:rFonts w:hint="eastAsia" w:asciiTheme="minorEastAsia" w:hAnsiTheme="minorEastAsia" w:eastAsiaTheme="minorEastAsia" w:cstheme="minorEastAsia"/>
          <w:color w:val="000000"/>
          <w:sz w:val="24"/>
        </w:rPr>
        <w:t>，则：</w:t>
      </w:r>
      <w:r>
        <w:rPr>
          <w:rFonts w:hint="eastAsia" w:asciiTheme="minorEastAsia" w:hAnsiTheme="minorEastAsia" w:eastAsiaTheme="minorEastAsia" w:cstheme="minorEastAsia"/>
          <w:color w:val="000000"/>
          <w:kern w:val="0"/>
          <w:sz w:val="24"/>
        </w:rPr>
        <w:t>电能表现场校验仪</w:t>
      </w:r>
      <w:r>
        <w:rPr>
          <w:rFonts w:hint="eastAsia" w:asciiTheme="minorEastAsia" w:hAnsiTheme="minorEastAsia" w:eastAsiaTheme="minorEastAsia" w:cstheme="minorEastAsia"/>
          <w:color w:val="000000"/>
          <w:sz w:val="24"/>
        </w:rPr>
        <w:t>最大允许误差引入的标准不确定度</w:t>
      </w:r>
      <w:r>
        <w:rPr>
          <w:rFonts w:hint="eastAsia" w:asciiTheme="minorEastAsia" w:hAnsiTheme="minorEastAsia" w:eastAsiaTheme="minorEastAsia" w:cstheme="minorEastAsia"/>
          <w:color w:val="000000"/>
          <w:position w:val="-28"/>
          <w:sz w:val="24"/>
        </w:rPr>
        <w:object>
          <v:shape id="_x0000_i1075" o:spt="75" type="#_x0000_t75" style="height:32.9pt;width:100.15pt;" o:ole="t" filled="f" o:preferrelative="t" stroked="f" coordsize="21600,21600">
            <v:path/>
            <v:fill on="f" focussize="0,0"/>
            <v:stroke on="f"/>
            <v:imagedata r:id="rId113" o:title=""/>
            <o:lock v:ext="edit" aspectratio="t"/>
            <w10:wrap type="none"/>
            <w10:anchorlock/>
          </v:shape>
          <o:OLEObject Type="Embed" ProgID="Equation.KSEE3" ShapeID="_x0000_i1075" DrawAspect="Content" ObjectID="_1468075775" r:id="rId112">
            <o:LockedField>false</o:LockedField>
          </o:OLEObject>
        </w:object>
      </w:r>
      <w:r>
        <w:rPr>
          <w:rFonts w:hint="eastAsia" w:asciiTheme="minorEastAsia" w:hAnsiTheme="minorEastAsia" w:eastAsiaTheme="minorEastAsia" w:cstheme="minorEastAsia"/>
          <w:color w:val="000000"/>
          <w:sz w:val="24"/>
        </w:rPr>
        <w:t>。</w:t>
      </w:r>
    </w:p>
    <w:p w14:paraId="33E43167">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5、合成标准不确定度的评定</w:t>
      </w:r>
    </w:p>
    <w:p w14:paraId="0F5E8FBC">
      <w:pPr>
        <w:spacing w:line="360" w:lineRule="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5.1不确定度分析一览表</w:t>
      </w:r>
    </w:p>
    <w:tbl>
      <w:tblPr>
        <w:tblStyle w:val="11"/>
        <w:tblW w:w="8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865"/>
        <w:gridCol w:w="1985"/>
        <w:gridCol w:w="1645"/>
      </w:tblGrid>
      <w:tr w14:paraId="2243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2357" w:type="dxa"/>
            <w:vAlign w:val="center"/>
          </w:tcPr>
          <w:p w14:paraId="0164012E">
            <w:pPr>
              <w:spacing w:line="360" w:lineRule="auto"/>
              <w:jc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标准不确定度</w:t>
            </w:r>
          </w:p>
        </w:tc>
        <w:tc>
          <w:tcPr>
            <w:tcW w:w="2865" w:type="dxa"/>
            <w:vAlign w:val="center"/>
          </w:tcPr>
          <w:p w14:paraId="4D69F23A">
            <w:pPr>
              <w:spacing w:line="360" w:lineRule="auto"/>
              <w:jc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不确定度来源</w:t>
            </w:r>
          </w:p>
        </w:tc>
        <w:tc>
          <w:tcPr>
            <w:tcW w:w="1985" w:type="dxa"/>
            <w:vAlign w:val="center"/>
          </w:tcPr>
          <w:p w14:paraId="4ECFFE76">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1"/>
                <w:szCs w:val="21"/>
              </w:rPr>
              <w:t>灵敏系数</w:t>
            </w:r>
          </w:p>
        </w:tc>
        <w:tc>
          <w:tcPr>
            <w:tcW w:w="1645" w:type="dxa"/>
            <w:vAlign w:val="center"/>
          </w:tcPr>
          <w:p w14:paraId="0165124F">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lang w:eastAsia="zh-CN"/>
              </w:rPr>
              <w:t>不确定度</w:t>
            </w:r>
          </w:p>
        </w:tc>
      </w:tr>
      <w:tr w14:paraId="1774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357" w:type="dxa"/>
            <w:vAlign w:val="center"/>
          </w:tcPr>
          <w:p w14:paraId="6C361319">
            <w:pPr>
              <w:spacing w:line="360" w:lineRule="auto"/>
              <w:jc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电能表现场校验仪</w:t>
            </w:r>
            <w:r>
              <w:rPr>
                <w:rFonts w:hint="eastAsia" w:asciiTheme="minorEastAsia" w:hAnsiTheme="minorEastAsia" w:eastAsiaTheme="minorEastAsia" w:cstheme="minorEastAsia"/>
                <w:color w:val="000000"/>
                <w:kern w:val="0"/>
                <w:sz w:val="21"/>
                <w:szCs w:val="21"/>
                <w:lang w:eastAsia="zh-CN"/>
              </w:rPr>
              <w:t>测量过程中</w:t>
            </w:r>
            <w:r>
              <w:rPr>
                <w:rFonts w:hint="eastAsia" w:asciiTheme="minorEastAsia" w:hAnsiTheme="minorEastAsia" w:eastAsiaTheme="minorEastAsia" w:cstheme="minorEastAsia"/>
                <w:color w:val="000000"/>
                <w:sz w:val="21"/>
                <w:szCs w:val="21"/>
              </w:rPr>
              <w:t>的标准不确定度</w:t>
            </w:r>
          </w:p>
        </w:tc>
        <w:tc>
          <w:tcPr>
            <w:tcW w:w="2865" w:type="dxa"/>
            <w:vAlign w:val="center"/>
          </w:tcPr>
          <w:p w14:paraId="73ADE2BA">
            <w:pPr>
              <w:spacing w:line="360" w:lineRule="auto"/>
              <w:jc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电能表现场校验仪</w:t>
            </w:r>
            <w:r>
              <w:rPr>
                <w:rFonts w:hint="eastAsia" w:asciiTheme="minorEastAsia" w:hAnsiTheme="minorEastAsia" w:eastAsiaTheme="minorEastAsia" w:cstheme="minorEastAsia"/>
                <w:color w:val="000000"/>
                <w:sz w:val="21"/>
                <w:szCs w:val="21"/>
              </w:rPr>
              <w:t>测量重复性引入的标准不确定度</w:t>
            </w:r>
          </w:p>
        </w:tc>
        <w:tc>
          <w:tcPr>
            <w:tcW w:w="1985" w:type="dxa"/>
            <w:vMerge w:val="restart"/>
            <w:vAlign w:val="center"/>
          </w:tcPr>
          <w:p w14:paraId="1AF8FAE8">
            <w:pPr>
              <w:spacing w:line="360" w:lineRule="auto"/>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position w:val="-6"/>
                <w:sz w:val="24"/>
              </w:rPr>
              <w:object>
                <v:shape id="_x0000_i1076" o:spt="75" type="#_x0000_t75" style="height:12.35pt;width:25.8pt;" o:ole="t" filled="f" o:preferrelative="t" stroked="f" coordsize="21600,21600">
                  <v:path/>
                  <v:fill on="f" focussize="0,0"/>
                  <v:stroke on="f"/>
                  <v:imagedata r:id="rId115" o:title=""/>
                  <o:lock v:ext="edit" aspectratio="t"/>
                  <w10:wrap type="none"/>
                  <w10:anchorlock/>
                </v:shape>
                <o:OLEObject Type="Embed" ProgID="Equation.3" ShapeID="_x0000_i1076" DrawAspect="Content" ObjectID="_1468075776" r:id="rId114">
                  <o:LockedField>false</o:LockedField>
                </o:OLEObject>
              </w:object>
            </w:r>
          </w:p>
        </w:tc>
        <w:tc>
          <w:tcPr>
            <w:tcW w:w="1645" w:type="dxa"/>
            <w:vAlign w:val="center"/>
          </w:tcPr>
          <w:p w14:paraId="1B18AB69">
            <w:pPr>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position w:val="-16"/>
                <w:sz w:val="24"/>
              </w:rPr>
              <w:object>
                <v:shape id="_x0000_i1077" o:spt="75" type="#_x0000_t75" style="height:20.2pt;width:58pt;" o:ole="t" filled="f" o:preferrelative="t" stroked="f" coordsize="21600,21600">
                  <v:path/>
                  <v:fill on="f" focussize="0,0"/>
                  <v:stroke on="f"/>
                  <v:imagedata r:id="rId117" o:title=""/>
                  <o:lock v:ext="edit" aspectratio="t"/>
                  <w10:wrap type="none"/>
                  <w10:anchorlock/>
                </v:shape>
                <o:OLEObject Type="Embed" ProgID="Equation.KSEE3" ShapeID="_x0000_i1077" DrawAspect="Content" ObjectID="_1468075777" r:id="rId116">
                  <o:LockedField>false</o:LockedField>
                </o:OLEObject>
              </w:object>
            </w:r>
          </w:p>
        </w:tc>
      </w:tr>
      <w:tr w14:paraId="1F417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2357" w:type="dxa"/>
            <w:vAlign w:val="center"/>
          </w:tcPr>
          <w:p w14:paraId="70EF255A">
            <w:pPr>
              <w:spacing w:line="360" w:lineRule="auto"/>
              <w:jc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电能表现场校验仪</w:t>
            </w:r>
            <w:r>
              <w:rPr>
                <w:rFonts w:hint="eastAsia" w:asciiTheme="minorEastAsia" w:hAnsiTheme="minorEastAsia" w:eastAsiaTheme="minorEastAsia" w:cstheme="minorEastAsia"/>
                <w:color w:val="000000"/>
                <w:sz w:val="21"/>
                <w:szCs w:val="21"/>
              </w:rPr>
              <w:t>引入的标准不确定度</w:t>
            </w:r>
          </w:p>
        </w:tc>
        <w:tc>
          <w:tcPr>
            <w:tcW w:w="2865" w:type="dxa"/>
            <w:vAlign w:val="center"/>
          </w:tcPr>
          <w:p w14:paraId="143112A3">
            <w:pPr>
              <w:spacing w:line="360" w:lineRule="auto"/>
              <w:jc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z w:val="21"/>
                <w:szCs w:val="21"/>
              </w:rPr>
              <w:t>由</w:t>
            </w:r>
            <w:r>
              <w:rPr>
                <w:rFonts w:hint="eastAsia" w:asciiTheme="minorEastAsia" w:hAnsiTheme="minorEastAsia" w:eastAsiaTheme="minorEastAsia" w:cstheme="minorEastAsia"/>
                <w:color w:val="000000"/>
                <w:kern w:val="0"/>
                <w:sz w:val="21"/>
                <w:szCs w:val="21"/>
              </w:rPr>
              <w:t>电能表现场校验仪</w:t>
            </w:r>
            <w:r>
              <w:rPr>
                <w:rFonts w:hint="eastAsia" w:asciiTheme="minorEastAsia" w:hAnsiTheme="minorEastAsia" w:eastAsiaTheme="minorEastAsia" w:cstheme="minorEastAsia"/>
                <w:color w:val="000000"/>
                <w:kern w:val="0"/>
                <w:sz w:val="21"/>
                <w:szCs w:val="21"/>
                <w:lang w:eastAsia="zh-CN"/>
              </w:rPr>
              <w:t>最大允许误差</w:t>
            </w:r>
            <w:r>
              <w:rPr>
                <w:rFonts w:hint="eastAsia" w:asciiTheme="minorEastAsia" w:hAnsiTheme="minorEastAsia" w:eastAsiaTheme="minorEastAsia" w:cstheme="minorEastAsia"/>
                <w:color w:val="000000"/>
                <w:sz w:val="21"/>
                <w:szCs w:val="21"/>
              </w:rPr>
              <w:t>引入的标准不确定度</w:t>
            </w:r>
          </w:p>
        </w:tc>
        <w:tc>
          <w:tcPr>
            <w:tcW w:w="1985" w:type="dxa"/>
            <w:vMerge w:val="continue"/>
            <w:vAlign w:val="center"/>
          </w:tcPr>
          <w:p w14:paraId="5C9AE26D">
            <w:pPr>
              <w:spacing w:line="360" w:lineRule="auto"/>
              <w:jc w:val="center"/>
              <w:rPr>
                <w:rFonts w:asciiTheme="minorEastAsia" w:hAnsiTheme="minorEastAsia" w:eastAsiaTheme="minorEastAsia" w:cstheme="minorEastAsia"/>
                <w:color w:val="000000"/>
                <w:sz w:val="24"/>
              </w:rPr>
            </w:pPr>
          </w:p>
        </w:tc>
        <w:tc>
          <w:tcPr>
            <w:tcW w:w="1645" w:type="dxa"/>
            <w:vAlign w:val="center"/>
          </w:tcPr>
          <w:p w14:paraId="01754625">
            <w:pPr>
              <w:spacing w:line="360" w:lineRule="auto"/>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position w:val="-14"/>
                <w:sz w:val="24"/>
              </w:rPr>
              <w:object>
                <v:shape id="_x0000_i1078" o:spt="75" type="#_x0000_t75" style="height:19.15pt;width:60.95pt;" o:ole="t" filled="f" o:preferrelative="t" stroked="f" coordsize="21600,21600">
                  <v:path/>
                  <v:fill on="f" focussize="0,0"/>
                  <v:stroke on="f"/>
                  <v:imagedata r:id="rId119" o:title=""/>
                  <o:lock v:ext="edit" aspectratio="t"/>
                  <w10:wrap type="none"/>
                  <w10:anchorlock/>
                </v:shape>
                <o:OLEObject Type="Embed" ProgID="Equation.KSEE3" ShapeID="_x0000_i1078" DrawAspect="Content" ObjectID="_1468075778" r:id="rId118">
                  <o:LockedField>false</o:LockedField>
                </o:OLEObject>
              </w:object>
            </w:r>
          </w:p>
        </w:tc>
      </w:tr>
    </w:tbl>
    <w:p w14:paraId="5D53647A">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C</w:t>
      </w:r>
      <w:r>
        <w:rPr>
          <w:rFonts w:hint="eastAsia" w:asciiTheme="minorEastAsia" w:hAnsiTheme="minorEastAsia" w:eastAsiaTheme="minorEastAsia" w:cstheme="minorEastAsia"/>
          <w:sz w:val="24"/>
          <w:lang w:val="en-US" w:eastAsia="zh-CN"/>
        </w:rPr>
        <w:t>2.</w:t>
      </w:r>
      <w:r>
        <w:rPr>
          <w:rFonts w:hint="eastAsia" w:asciiTheme="minorEastAsia" w:hAnsiTheme="minorEastAsia" w:eastAsiaTheme="minorEastAsia" w:cstheme="minorEastAsia"/>
          <w:sz w:val="24"/>
        </w:rPr>
        <w:t>5.2 合成标准不确定度</w:t>
      </w:r>
    </w:p>
    <w:p w14:paraId="34F688ED">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position w:val="-16"/>
          <w:sz w:val="24"/>
        </w:rPr>
        <w:object>
          <v:shape id="_x0000_i1079" o:spt="75" type="#_x0000_t75" style="height:27.45pt;width:126.35pt;" o:ole="t" filled="f" o:preferrelative="t" stroked="f" coordsize="21600,21600">
            <v:path/>
            <v:fill on="f" focussize="0,0"/>
            <v:stroke on="f"/>
            <v:imagedata r:id="rId121" o:title=""/>
            <o:lock v:ext="edit" aspectratio="t"/>
            <w10:wrap type="none"/>
            <w10:anchorlock/>
          </v:shape>
          <o:OLEObject Type="Embed" ProgID="Equation.KSEE3" ShapeID="_x0000_i1079" DrawAspect="Content" ObjectID="_1468075779" r:id="rId120">
            <o:LockedField>false</o:LockedField>
          </o:OLEObject>
        </w:object>
      </w:r>
      <w:r>
        <w:rPr>
          <w:rFonts w:hint="eastAsia" w:asciiTheme="minorEastAsia" w:hAnsiTheme="minorEastAsia" w:eastAsiaTheme="minorEastAsia" w:cstheme="minorEastAsia"/>
          <w:color w:val="000000"/>
          <w:sz w:val="24"/>
        </w:rPr>
        <w:t>。</w:t>
      </w:r>
    </w:p>
    <w:p w14:paraId="748CCA06">
      <w:pPr>
        <w:spacing w:line="360" w:lineRule="auto"/>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C</w:t>
      </w:r>
      <w:r>
        <w:rPr>
          <w:rFonts w:hint="eastAsia" w:asciiTheme="minorEastAsia" w:hAnsiTheme="minorEastAsia" w:eastAsiaTheme="minorEastAsia" w:cstheme="minorEastAsia"/>
          <w:color w:val="000000"/>
          <w:sz w:val="24"/>
          <w:lang w:val="en-US" w:eastAsia="zh-CN"/>
        </w:rPr>
        <w:t>2.</w:t>
      </w:r>
      <w:r>
        <w:rPr>
          <w:rFonts w:hint="eastAsia" w:asciiTheme="minorEastAsia" w:hAnsiTheme="minorEastAsia" w:eastAsiaTheme="minorEastAsia" w:cstheme="minorEastAsia"/>
          <w:color w:val="000000"/>
          <w:sz w:val="24"/>
        </w:rPr>
        <w:t>6、扩展不确定度</w:t>
      </w:r>
    </w:p>
    <w:p w14:paraId="287BB3DE">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取包含因子</w:t>
      </w:r>
      <w:r>
        <w:rPr>
          <w:rFonts w:hint="eastAsia" w:asciiTheme="minorEastAsia" w:hAnsiTheme="minorEastAsia" w:eastAsiaTheme="minorEastAsia" w:cstheme="minorEastAsia"/>
          <w:i/>
          <w:iCs/>
          <w:sz w:val="24"/>
        </w:rPr>
        <w:t>k</w:t>
      </w:r>
      <w:r>
        <w:rPr>
          <w:rFonts w:hint="eastAsia" w:asciiTheme="minorEastAsia" w:hAnsiTheme="minorEastAsia" w:eastAsiaTheme="minorEastAsia" w:cstheme="minorEastAsia"/>
          <w:sz w:val="24"/>
        </w:rPr>
        <w:t>=2，则扩展不确定度为：</w:t>
      </w:r>
    </w:p>
    <w:p w14:paraId="72E82EC2">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position w:val="-12"/>
          <w:sz w:val="24"/>
        </w:rPr>
        <w:object>
          <v:shape id="_x0000_i1080" o:spt="75" type="#_x0000_t75" style="height:20.8pt;width:189.8pt;" o:ole="t" filled="f" o:preferrelative="t" stroked="f" coordsize="21600,21600">
            <v:path/>
            <v:fill on="f" focussize="0,0"/>
            <v:stroke on="f"/>
            <v:imagedata r:id="rId123" o:title=""/>
            <o:lock v:ext="edit" aspectratio="t"/>
            <w10:wrap type="none"/>
            <w10:anchorlock/>
          </v:shape>
          <o:OLEObject Type="Embed" ProgID="Equation.KSEE3" ShapeID="_x0000_i1080" DrawAspect="Content" ObjectID="_1468075780" r:id="rId122">
            <o:LockedField>false</o:LockedField>
          </o:OLEObject>
        </w:object>
      </w:r>
      <w:r>
        <w:rPr>
          <w:rFonts w:hint="eastAsia" w:asciiTheme="minorEastAsia" w:hAnsiTheme="minorEastAsia" w:eastAsiaTheme="minorEastAsia" w:cstheme="minorEastAsia"/>
          <w:color w:val="000000"/>
          <w:sz w:val="24"/>
        </w:rPr>
        <w:t>。</w:t>
      </w:r>
    </w:p>
    <w:p w14:paraId="1C46EE04">
      <w:pPr>
        <w:spacing w:line="360" w:lineRule="auto"/>
        <w:jc w:val="left"/>
        <w:rPr>
          <w:rFonts w:asciiTheme="minorEastAsia" w:hAnsiTheme="minorEastAsia" w:eastAsiaTheme="minorEastAsia"/>
          <w:color w:val="000000" w:themeColor="text1"/>
          <w:sz w:val="24"/>
        </w:rPr>
      </w:pPr>
      <w:r>
        <w:rPr>
          <w:rFonts w:asciiTheme="minorEastAsia" w:hAnsiTheme="minorEastAsia" w:eastAsiaTheme="minorEastAsia" w:cstheme="minorEastAsia"/>
          <w:color w:val="000000" w:themeColor="text1"/>
          <w:sz w:val="24"/>
        </w:rPr>
        <w:pict>
          <v:rect id="_x0000_i1081" o:spt="1" style="height:1.5pt;width:110.2pt;" fillcolor="#A0A0A0" filled="t" stroked="f" coordsize="21600,21600" o:hr="t" o:hrstd="t" o:hrpct="250" o:hralign="center">
            <v:path/>
            <v:fill on="t" focussize="0,0"/>
            <v:stroke on="f"/>
            <v:imagedata o:title=""/>
            <o:lock v:ext="edit"/>
            <w10:wrap type="none"/>
            <w10:anchorlock/>
          </v:rect>
        </w:pict>
      </w:r>
    </w:p>
    <w:sectPr>
      <w:headerReference r:id="rId11" w:type="default"/>
      <w:footerReference r:id="rId12" w:type="default"/>
      <w:type w:val="continuous"/>
      <w:pgSz w:w="11906" w:h="16838"/>
      <w:pgMar w:top="1440" w:right="1469" w:bottom="1440" w:left="1622" w:header="851"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1B556">
    <w:pPr>
      <w:tabs>
        <w:tab w:val="right" w:pos="8306"/>
      </w:tabs>
      <w:snapToGrid w:val="0"/>
      <w:jc w:val="right"/>
      <w:textAlignment w:val="baseline"/>
      <w:rPr>
        <w:sz w:val="18"/>
      </w:rPr>
    </w:pPr>
  </w:p>
  <w:p w14:paraId="69A39004">
    <w:pPr>
      <w:tabs>
        <w:tab w:val="center" w:pos="4153"/>
        <w:tab w:val="right" w:pos="8306"/>
      </w:tabs>
      <w:snapToGrid w:val="0"/>
      <w:ind w:right="360"/>
      <w:jc w:val="left"/>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EE593">
    <w:pPr>
      <w:pStyle w:val="8"/>
      <w:jc w:val="both"/>
    </w:pPr>
    <w:r>
      <w:rPr>
        <w:rFonts w:hint="eastAsia"/>
      </w:rPr>
      <w:t>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F826A">
    <w:pPr>
      <w:pStyle w:val="8"/>
    </w:pPr>
    <w:r>
      <w:fldChar w:fldCharType="begin"/>
    </w:r>
    <w:r>
      <w:instrText xml:space="preserve"> PAGE   \* MERGEFORMAT </w:instrText>
    </w:r>
    <w:r>
      <w:fldChar w:fldCharType="separate"/>
    </w:r>
    <w:r>
      <w:rPr>
        <w:lang w:val="zh-CN"/>
      </w:rPr>
      <w:t>8</w:t>
    </w:r>
    <w:r>
      <w:rPr>
        <w:lang w:val="zh-CN"/>
      </w:rPr>
      <w:fldChar w:fldCharType="end"/>
    </w:r>
  </w:p>
  <w:p w14:paraId="394DFEB7">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23AAD">
    <w:pPr>
      <w:pStyle w:val="8"/>
      <w:jc w:val="both"/>
    </w:pPr>
    <w:r>
      <w:rPr>
        <w:rFonts w:hint="eastAsia"/>
      </w:rPr>
      <w:t>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9743E">
    <w:pPr>
      <w:pStyle w:val="8"/>
    </w:pPr>
    <w:r>
      <w:rPr>
        <w:rFonts w:hint="eastAsia" w:ascii="宋体" w:hAnsi="宋体"/>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E7CA">
    <w:pPr>
      <w:pStyle w:val="8"/>
      <w:jc w:val="right"/>
    </w:pPr>
    <w:r>
      <w:fldChar w:fldCharType="begin"/>
    </w:r>
    <w:r>
      <w:instrText xml:space="preserve"> PAGE   \* MERGEFORMAT </w:instrText>
    </w:r>
    <w:r>
      <w:fldChar w:fldCharType="separate"/>
    </w:r>
    <w:r>
      <w:rPr>
        <w:lang w:val="zh-CN"/>
      </w:rPr>
      <w:t>1</w:t>
    </w:r>
    <w:r>
      <w:rPr>
        <w:lang w:val="zh-CN"/>
      </w:rPr>
      <w:fldChar w:fldCharType="end"/>
    </w:r>
  </w:p>
  <w:p w14:paraId="6311001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E695E">
    <w:pPr>
      <w:pStyle w:val="9"/>
      <w:rPr>
        <w:rFonts w:ascii="黑体" w:eastAsia="黑体"/>
        <w:sz w:val="21"/>
      </w:rPr>
    </w:pPr>
    <w:r>
      <w:rPr>
        <w:rFonts w:ascii="Times New Roman" w:hAnsi="Times New Roman" w:eastAsia="黑体"/>
        <w:bCs/>
        <w:sz w:val="21"/>
      </w:rPr>
      <w:t>JJF</w:t>
    </w:r>
    <w:r>
      <w:rPr>
        <w:rFonts w:hint="eastAsia" w:ascii="Times New Roman" w:hAnsi="Times New Roman" w:eastAsia="黑体"/>
        <w:bCs/>
        <w:sz w:val="21"/>
      </w:rPr>
      <w:t>（皖</w:t>
    </w:r>
    <w:r>
      <w:rPr>
        <w:rFonts w:hint="eastAsia" w:ascii="黑体" w:eastAsia="黑体"/>
        <w:bCs/>
        <w:sz w:val="21"/>
      </w:rPr>
      <w:t>）</w:t>
    </w:r>
    <w:r>
      <w:rPr>
        <w:rFonts w:ascii="黑体" w:eastAsia="黑体"/>
        <w:bCs/>
        <w:sz w:val="21"/>
      </w:rPr>
      <w:t>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C228A">
    <w:pPr>
      <w:pStyle w:val="9"/>
      <w:rPr>
        <w:rFonts w:ascii="黑体" w:eastAsia="黑体"/>
        <w:sz w:val="21"/>
      </w:rPr>
    </w:pPr>
    <w:r>
      <w:rPr>
        <w:rFonts w:ascii="Times New Roman" w:hAnsi="Times New Roman" w:eastAsia="黑体"/>
        <w:bCs/>
        <w:sz w:val="21"/>
      </w:rPr>
      <w:t>JJF</w:t>
    </w:r>
    <w:r>
      <w:rPr>
        <w:rFonts w:hint="eastAsia" w:ascii="Times New Roman" w:hAnsi="Times New Roman" w:eastAsia="黑体"/>
        <w:bCs/>
        <w:sz w:val="21"/>
      </w:rPr>
      <w:t>（皖</w:t>
    </w:r>
    <w:r>
      <w:rPr>
        <w:rFonts w:hint="eastAsia" w:ascii="黑体" w:eastAsia="黑体"/>
        <w:bCs/>
        <w:sz w:val="21"/>
      </w:rPr>
      <w:t>）</w:t>
    </w:r>
    <w:r>
      <w:rPr>
        <w:rFonts w:ascii="黑体" w:eastAsia="黑体"/>
        <w:bCs/>
        <w:sz w:val="21"/>
      </w:rPr>
      <w:t>XXXX-XXXX</w:t>
    </w:r>
  </w:p>
  <w:p w14:paraId="290F5CB8">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932FC">
    <w:pPr>
      <w:pStyle w:val="9"/>
      <w:rPr>
        <w:rFonts w:ascii="黑体" w:eastAsia="黑体"/>
        <w:sz w:val="21"/>
      </w:rPr>
    </w:pPr>
    <w:r>
      <w:rPr>
        <w:rFonts w:ascii="Times New Roman" w:hAnsi="Times New Roman" w:eastAsia="黑体"/>
        <w:bCs/>
        <w:sz w:val="21"/>
      </w:rPr>
      <w:t>JJF</w:t>
    </w:r>
    <w:r>
      <w:rPr>
        <w:rFonts w:hint="eastAsia" w:ascii="Times New Roman" w:hAnsi="Times New Roman" w:eastAsia="黑体"/>
        <w:bCs/>
        <w:sz w:val="21"/>
      </w:rPr>
      <w:t>（皖</w:t>
    </w:r>
    <w:r>
      <w:rPr>
        <w:rFonts w:hint="eastAsia" w:ascii="黑体" w:eastAsia="黑体"/>
        <w:bCs/>
        <w:sz w:val="21"/>
      </w:rPr>
      <w:t>）</w:t>
    </w:r>
    <w:r>
      <w:rPr>
        <w:rFonts w:ascii="黑体" w:eastAsia="黑体"/>
        <w:bCs/>
        <w:sz w:val="21"/>
      </w:rPr>
      <w:t>XX</w:t>
    </w:r>
    <w:r>
      <w:rPr>
        <w:rFonts w:hint="eastAsia" w:ascii="黑体" w:eastAsia="黑体"/>
        <w:bCs/>
        <w:sz w:val="21"/>
      </w:rPr>
      <w:t>X</w:t>
    </w:r>
    <w:r>
      <w:rPr>
        <w:rFonts w:ascii="黑体" w:eastAsia="黑体"/>
        <w:bCs/>
        <w:sz w:val="21"/>
      </w:rP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629AC">
    <w:pPr>
      <w:pStyle w:val="9"/>
      <w:rPr>
        <w:rFonts w:ascii="黑体" w:eastAsia="黑体"/>
        <w:sz w:val="21"/>
      </w:rPr>
    </w:pPr>
    <w:r>
      <w:rPr>
        <w:rFonts w:ascii="Times New Roman" w:hAnsi="Times New Roman" w:eastAsia="黑体"/>
        <w:bCs/>
        <w:sz w:val="21"/>
      </w:rPr>
      <w:t>JJF</w:t>
    </w:r>
    <w:r>
      <w:rPr>
        <w:rFonts w:hint="eastAsia" w:ascii="Times New Roman" w:hAnsi="Times New Roman" w:eastAsia="黑体"/>
        <w:bCs/>
        <w:sz w:val="21"/>
      </w:rPr>
      <w:t>（皖</w:t>
    </w:r>
    <w:r>
      <w:rPr>
        <w:rFonts w:hint="eastAsia" w:ascii="黑体" w:eastAsia="黑体"/>
        <w:bCs/>
        <w:sz w:val="21"/>
      </w:rPr>
      <w:t>）</w:t>
    </w:r>
    <w:r>
      <w:rPr>
        <w:rFonts w:ascii="黑体" w:eastAsia="黑体"/>
        <w:bCs/>
        <w:sz w:val="21"/>
      </w:rPr>
      <w:t>XX</w:t>
    </w:r>
    <w:r>
      <w:rPr>
        <w:rFonts w:hint="eastAsia" w:ascii="黑体" w:eastAsia="黑体"/>
        <w:bCs/>
        <w:sz w:val="21"/>
      </w:rPr>
      <w:t>X</w:t>
    </w:r>
    <w:r>
      <w:rPr>
        <w:rFonts w:ascii="黑体" w:eastAsia="黑体"/>
        <w:bCs/>
        <w:sz w:val="21"/>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c0ZWM4MjIzOWU5MGNjNjI5Mjg0OGJmNWUxMjM3NGUifQ=="/>
  </w:docVars>
  <w:rsids>
    <w:rsidRoot w:val="00194DDD"/>
    <w:rsid w:val="00003BF4"/>
    <w:rsid w:val="0000557A"/>
    <w:rsid w:val="000122FD"/>
    <w:rsid w:val="0001530B"/>
    <w:rsid w:val="000170AB"/>
    <w:rsid w:val="00026A47"/>
    <w:rsid w:val="00034E1C"/>
    <w:rsid w:val="00036D5F"/>
    <w:rsid w:val="00037C92"/>
    <w:rsid w:val="0004515F"/>
    <w:rsid w:val="0005178F"/>
    <w:rsid w:val="0005491E"/>
    <w:rsid w:val="00054DEB"/>
    <w:rsid w:val="00054E2B"/>
    <w:rsid w:val="00061089"/>
    <w:rsid w:val="00063638"/>
    <w:rsid w:val="00065659"/>
    <w:rsid w:val="00065678"/>
    <w:rsid w:val="00075DEE"/>
    <w:rsid w:val="00086290"/>
    <w:rsid w:val="000917D7"/>
    <w:rsid w:val="00091C1E"/>
    <w:rsid w:val="0009529F"/>
    <w:rsid w:val="000A21E1"/>
    <w:rsid w:val="000A385F"/>
    <w:rsid w:val="000A6112"/>
    <w:rsid w:val="000B05FE"/>
    <w:rsid w:val="000C004A"/>
    <w:rsid w:val="000D3238"/>
    <w:rsid w:val="000D38DC"/>
    <w:rsid w:val="000D6F49"/>
    <w:rsid w:val="000E1926"/>
    <w:rsid w:val="000E388C"/>
    <w:rsid w:val="000F20C2"/>
    <w:rsid w:val="000F5E1D"/>
    <w:rsid w:val="00100DD6"/>
    <w:rsid w:val="00102A0B"/>
    <w:rsid w:val="00103DEA"/>
    <w:rsid w:val="00104A0B"/>
    <w:rsid w:val="001050D0"/>
    <w:rsid w:val="0011078A"/>
    <w:rsid w:val="001112B5"/>
    <w:rsid w:val="0012681B"/>
    <w:rsid w:val="0013046D"/>
    <w:rsid w:val="00132096"/>
    <w:rsid w:val="00134D03"/>
    <w:rsid w:val="001402AB"/>
    <w:rsid w:val="00141646"/>
    <w:rsid w:val="0014191E"/>
    <w:rsid w:val="001457C5"/>
    <w:rsid w:val="00146F04"/>
    <w:rsid w:val="00151330"/>
    <w:rsid w:val="00151B13"/>
    <w:rsid w:val="00154EAF"/>
    <w:rsid w:val="00155923"/>
    <w:rsid w:val="001668F3"/>
    <w:rsid w:val="001746B7"/>
    <w:rsid w:val="00180962"/>
    <w:rsid w:val="001812CB"/>
    <w:rsid w:val="00185185"/>
    <w:rsid w:val="00185CAE"/>
    <w:rsid w:val="00186E7F"/>
    <w:rsid w:val="00190C6A"/>
    <w:rsid w:val="00191020"/>
    <w:rsid w:val="00194A29"/>
    <w:rsid w:val="00194DDD"/>
    <w:rsid w:val="00196D40"/>
    <w:rsid w:val="001A2F28"/>
    <w:rsid w:val="001A47FF"/>
    <w:rsid w:val="001B174C"/>
    <w:rsid w:val="001B256B"/>
    <w:rsid w:val="001B284E"/>
    <w:rsid w:val="001B5587"/>
    <w:rsid w:val="001B5691"/>
    <w:rsid w:val="001B5B84"/>
    <w:rsid w:val="001C13E5"/>
    <w:rsid w:val="001C1E96"/>
    <w:rsid w:val="001C6084"/>
    <w:rsid w:val="001D247B"/>
    <w:rsid w:val="001D58C3"/>
    <w:rsid w:val="001E5C6C"/>
    <w:rsid w:val="001E6443"/>
    <w:rsid w:val="001E7D99"/>
    <w:rsid w:val="001E7F8C"/>
    <w:rsid w:val="001F0B55"/>
    <w:rsid w:val="001F1BFC"/>
    <w:rsid w:val="001F62A5"/>
    <w:rsid w:val="00212728"/>
    <w:rsid w:val="00214D87"/>
    <w:rsid w:val="002303D9"/>
    <w:rsid w:val="002352BC"/>
    <w:rsid w:val="002420A7"/>
    <w:rsid w:val="00244DAF"/>
    <w:rsid w:val="002450BC"/>
    <w:rsid w:val="0025346C"/>
    <w:rsid w:val="00253ADC"/>
    <w:rsid w:val="002574C7"/>
    <w:rsid w:val="00274341"/>
    <w:rsid w:val="00286E06"/>
    <w:rsid w:val="0028754D"/>
    <w:rsid w:val="0028757B"/>
    <w:rsid w:val="002902B1"/>
    <w:rsid w:val="00290913"/>
    <w:rsid w:val="00291688"/>
    <w:rsid w:val="00295984"/>
    <w:rsid w:val="002959CD"/>
    <w:rsid w:val="0029616C"/>
    <w:rsid w:val="00296D42"/>
    <w:rsid w:val="002B6A47"/>
    <w:rsid w:val="002C318F"/>
    <w:rsid w:val="002C4136"/>
    <w:rsid w:val="002D2816"/>
    <w:rsid w:val="002D29C0"/>
    <w:rsid w:val="002D2DC4"/>
    <w:rsid w:val="002E68D8"/>
    <w:rsid w:val="002F53F2"/>
    <w:rsid w:val="00301CBB"/>
    <w:rsid w:val="003123CF"/>
    <w:rsid w:val="0031260C"/>
    <w:rsid w:val="0032259F"/>
    <w:rsid w:val="00323DB0"/>
    <w:rsid w:val="00325B10"/>
    <w:rsid w:val="00330A5A"/>
    <w:rsid w:val="003310AE"/>
    <w:rsid w:val="00341165"/>
    <w:rsid w:val="00341693"/>
    <w:rsid w:val="0034766A"/>
    <w:rsid w:val="00353FC0"/>
    <w:rsid w:val="00354FCB"/>
    <w:rsid w:val="00355E94"/>
    <w:rsid w:val="00357D49"/>
    <w:rsid w:val="00372C3C"/>
    <w:rsid w:val="00372CF9"/>
    <w:rsid w:val="00387743"/>
    <w:rsid w:val="00387BF6"/>
    <w:rsid w:val="00395FE0"/>
    <w:rsid w:val="003A24F5"/>
    <w:rsid w:val="003A4E97"/>
    <w:rsid w:val="003A4FBE"/>
    <w:rsid w:val="003B5E5D"/>
    <w:rsid w:val="003C07A1"/>
    <w:rsid w:val="003C17B9"/>
    <w:rsid w:val="003D0380"/>
    <w:rsid w:val="003D1DEE"/>
    <w:rsid w:val="003D44BB"/>
    <w:rsid w:val="003D7E51"/>
    <w:rsid w:val="003E16E0"/>
    <w:rsid w:val="003E1CAA"/>
    <w:rsid w:val="003E2850"/>
    <w:rsid w:val="003E42D5"/>
    <w:rsid w:val="003E69CF"/>
    <w:rsid w:val="003E74B8"/>
    <w:rsid w:val="003F3586"/>
    <w:rsid w:val="003F4AB0"/>
    <w:rsid w:val="00401C9E"/>
    <w:rsid w:val="00410A16"/>
    <w:rsid w:val="004110D7"/>
    <w:rsid w:val="00411F83"/>
    <w:rsid w:val="00417B59"/>
    <w:rsid w:val="00422A7E"/>
    <w:rsid w:val="00426004"/>
    <w:rsid w:val="00431CD1"/>
    <w:rsid w:val="00432801"/>
    <w:rsid w:val="004369F8"/>
    <w:rsid w:val="00441737"/>
    <w:rsid w:val="00441769"/>
    <w:rsid w:val="004461AA"/>
    <w:rsid w:val="00447935"/>
    <w:rsid w:val="00462E63"/>
    <w:rsid w:val="00463E5C"/>
    <w:rsid w:val="0046472A"/>
    <w:rsid w:val="00465766"/>
    <w:rsid w:val="00465D4B"/>
    <w:rsid w:val="00467861"/>
    <w:rsid w:val="00471C9D"/>
    <w:rsid w:val="0047271A"/>
    <w:rsid w:val="00476DAD"/>
    <w:rsid w:val="0048081C"/>
    <w:rsid w:val="00491B69"/>
    <w:rsid w:val="00497282"/>
    <w:rsid w:val="004A1F0C"/>
    <w:rsid w:val="004A3527"/>
    <w:rsid w:val="004A71C9"/>
    <w:rsid w:val="004B0928"/>
    <w:rsid w:val="004B4198"/>
    <w:rsid w:val="004C0337"/>
    <w:rsid w:val="004C74E4"/>
    <w:rsid w:val="004C7CB7"/>
    <w:rsid w:val="004D36DF"/>
    <w:rsid w:val="004D3BA4"/>
    <w:rsid w:val="004D45D5"/>
    <w:rsid w:val="004D6E4E"/>
    <w:rsid w:val="004D74D0"/>
    <w:rsid w:val="004E7701"/>
    <w:rsid w:val="004F6351"/>
    <w:rsid w:val="004F7814"/>
    <w:rsid w:val="004F7FFA"/>
    <w:rsid w:val="0050398E"/>
    <w:rsid w:val="00504FEF"/>
    <w:rsid w:val="00506744"/>
    <w:rsid w:val="005115CA"/>
    <w:rsid w:val="005231EE"/>
    <w:rsid w:val="00524078"/>
    <w:rsid w:val="0052474B"/>
    <w:rsid w:val="00526445"/>
    <w:rsid w:val="00531127"/>
    <w:rsid w:val="0053348C"/>
    <w:rsid w:val="00534E6D"/>
    <w:rsid w:val="005415B3"/>
    <w:rsid w:val="0055324F"/>
    <w:rsid w:val="005664AA"/>
    <w:rsid w:val="005747DD"/>
    <w:rsid w:val="005836F8"/>
    <w:rsid w:val="00584137"/>
    <w:rsid w:val="00591A0B"/>
    <w:rsid w:val="00595AA0"/>
    <w:rsid w:val="005A2D7B"/>
    <w:rsid w:val="005A7DAE"/>
    <w:rsid w:val="005B71A3"/>
    <w:rsid w:val="005C15F4"/>
    <w:rsid w:val="005C27B2"/>
    <w:rsid w:val="005D2709"/>
    <w:rsid w:val="005D4448"/>
    <w:rsid w:val="005D5BA9"/>
    <w:rsid w:val="005E4671"/>
    <w:rsid w:val="005E46E7"/>
    <w:rsid w:val="005F76E7"/>
    <w:rsid w:val="006011C4"/>
    <w:rsid w:val="0060418B"/>
    <w:rsid w:val="0062156D"/>
    <w:rsid w:val="00623474"/>
    <w:rsid w:val="00625C52"/>
    <w:rsid w:val="006270CD"/>
    <w:rsid w:val="006301DF"/>
    <w:rsid w:val="006317BF"/>
    <w:rsid w:val="00645BFA"/>
    <w:rsid w:val="00650518"/>
    <w:rsid w:val="00651166"/>
    <w:rsid w:val="00667407"/>
    <w:rsid w:val="006704A4"/>
    <w:rsid w:val="00670D6C"/>
    <w:rsid w:val="00672383"/>
    <w:rsid w:val="0067463E"/>
    <w:rsid w:val="006818D1"/>
    <w:rsid w:val="00691548"/>
    <w:rsid w:val="006959C2"/>
    <w:rsid w:val="00695A1D"/>
    <w:rsid w:val="006A04A4"/>
    <w:rsid w:val="006A133F"/>
    <w:rsid w:val="006A136B"/>
    <w:rsid w:val="006A436F"/>
    <w:rsid w:val="006A702F"/>
    <w:rsid w:val="006A7A4C"/>
    <w:rsid w:val="006C2A33"/>
    <w:rsid w:val="006C4C5A"/>
    <w:rsid w:val="006C749E"/>
    <w:rsid w:val="006D18A3"/>
    <w:rsid w:val="006D3C11"/>
    <w:rsid w:val="006D6639"/>
    <w:rsid w:val="006D77FE"/>
    <w:rsid w:val="006E2E28"/>
    <w:rsid w:val="006E7869"/>
    <w:rsid w:val="006F4A53"/>
    <w:rsid w:val="006F775B"/>
    <w:rsid w:val="00700F58"/>
    <w:rsid w:val="0071042A"/>
    <w:rsid w:val="00715200"/>
    <w:rsid w:val="00717AC6"/>
    <w:rsid w:val="00720CDA"/>
    <w:rsid w:val="00730A3E"/>
    <w:rsid w:val="00746DA7"/>
    <w:rsid w:val="00754182"/>
    <w:rsid w:val="007601EC"/>
    <w:rsid w:val="0077216E"/>
    <w:rsid w:val="00775076"/>
    <w:rsid w:val="00777EF6"/>
    <w:rsid w:val="00781132"/>
    <w:rsid w:val="00781138"/>
    <w:rsid w:val="00781940"/>
    <w:rsid w:val="00784558"/>
    <w:rsid w:val="00785ED4"/>
    <w:rsid w:val="00786B93"/>
    <w:rsid w:val="00791B2D"/>
    <w:rsid w:val="007A2E88"/>
    <w:rsid w:val="007A39C1"/>
    <w:rsid w:val="007A481D"/>
    <w:rsid w:val="007A6962"/>
    <w:rsid w:val="007C2E73"/>
    <w:rsid w:val="007C582B"/>
    <w:rsid w:val="007C617F"/>
    <w:rsid w:val="007D556D"/>
    <w:rsid w:val="007D57B9"/>
    <w:rsid w:val="007E381B"/>
    <w:rsid w:val="007F694D"/>
    <w:rsid w:val="007F77FA"/>
    <w:rsid w:val="007F7D2C"/>
    <w:rsid w:val="008030AB"/>
    <w:rsid w:val="008177CE"/>
    <w:rsid w:val="00821D0E"/>
    <w:rsid w:val="00822D55"/>
    <w:rsid w:val="00823176"/>
    <w:rsid w:val="008263BE"/>
    <w:rsid w:val="00834355"/>
    <w:rsid w:val="00836BA2"/>
    <w:rsid w:val="008423EE"/>
    <w:rsid w:val="00844E2B"/>
    <w:rsid w:val="00852B4C"/>
    <w:rsid w:val="008579F7"/>
    <w:rsid w:val="0086287F"/>
    <w:rsid w:val="00864096"/>
    <w:rsid w:val="00864907"/>
    <w:rsid w:val="00864B29"/>
    <w:rsid w:val="0087229A"/>
    <w:rsid w:val="0087299D"/>
    <w:rsid w:val="00881F83"/>
    <w:rsid w:val="00883D1E"/>
    <w:rsid w:val="0088581F"/>
    <w:rsid w:val="00891A17"/>
    <w:rsid w:val="008A0C0F"/>
    <w:rsid w:val="008B38AC"/>
    <w:rsid w:val="008B518F"/>
    <w:rsid w:val="008C14EB"/>
    <w:rsid w:val="008C3607"/>
    <w:rsid w:val="008D610B"/>
    <w:rsid w:val="008D6244"/>
    <w:rsid w:val="008E01A0"/>
    <w:rsid w:val="008E1B95"/>
    <w:rsid w:val="008E595B"/>
    <w:rsid w:val="008E7BEE"/>
    <w:rsid w:val="008F03E5"/>
    <w:rsid w:val="008F1552"/>
    <w:rsid w:val="009041E7"/>
    <w:rsid w:val="0090444F"/>
    <w:rsid w:val="009101CB"/>
    <w:rsid w:val="00914CD0"/>
    <w:rsid w:val="00920780"/>
    <w:rsid w:val="00925CEF"/>
    <w:rsid w:val="00931ED2"/>
    <w:rsid w:val="00932E48"/>
    <w:rsid w:val="0093475D"/>
    <w:rsid w:val="0093726E"/>
    <w:rsid w:val="00945673"/>
    <w:rsid w:val="00950CAF"/>
    <w:rsid w:val="0095126E"/>
    <w:rsid w:val="00954825"/>
    <w:rsid w:val="00956334"/>
    <w:rsid w:val="00957A62"/>
    <w:rsid w:val="00964D68"/>
    <w:rsid w:val="009654DA"/>
    <w:rsid w:val="00965FA2"/>
    <w:rsid w:val="009708A7"/>
    <w:rsid w:val="00982E4D"/>
    <w:rsid w:val="00983B15"/>
    <w:rsid w:val="00986559"/>
    <w:rsid w:val="00987C09"/>
    <w:rsid w:val="00991FAB"/>
    <w:rsid w:val="00997595"/>
    <w:rsid w:val="009A4EBD"/>
    <w:rsid w:val="009B05A2"/>
    <w:rsid w:val="009B5605"/>
    <w:rsid w:val="009B62B0"/>
    <w:rsid w:val="009B62E2"/>
    <w:rsid w:val="009B795B"/>
    <w:rsid w:val="009B7EE4"/>
    <w:rsid w:val="009C0453"/>
    <w:rsid w:val="009C5315"/>
    <w:rsid w:val="009D1A14"/>
    <w:rsid w:val="009D2EF4"/>
    <w:rsid w:val="009D5351"/>
    <w:rsid w:val="009D5516"/>
    <w:rsid w:val="009D6045"/>
    <w:rsid w:val="009D67B9"/>
    <w:rsid w:val="009E3422"/>
    <w:rsid w:val="009F0E2E"/>
    <w:rsid w:val="009F23D5"/>
    <w:rsid w:val="009F4423"/>
    <w:rsid w:val="009F459A"/>
    <w:rsid w:val="009F4751"/>
    <w:rsid w:val="009F7E9E"/>
    <w:rsid w:val="00A008D6"/>
    <w:rsid w:val="00A025A0"/>
    <w:rsid w:val="00A05974"/>
    <w:rsid w:val="00A07CF6"/>
    <w:rsid w:val="00A2435B"/>
    <w:rsid w:val="00A25C52"/>
    <w:rsid w:val="00A33301"/>
    <w:rsid w:val="00A336E8"/>
    <w:rsid w:val="00A422BC"/>
    <w:rsid w:val="00A44B6D"/>
    <w:rsid w:val="00A47AEC"/>
    <w:rsid w:val="00A570CE"/>
    <w:rsid w:val="00A63870"/>
    <w:rsid w:val="00A65449"/>
    <w:rsid w:val="00A66817"/>
    <w:rsid w:val="00A71D6D"/>
    <w:rsid w:val="00A80A7F"/>
    <w:rsid w:val="00A81028"/>
    <w:rsid w:val="00A857DC"/>
    <w:rsid w:val="00A95437"/>
    <w:rsid w:val="00AB1FC5"/>
    <w:rsid w:val="00AB5CCA"/>
    <w:rsid w:val="00AB6CC9"/>
    <w:rsid w:val="00AB7666"/>
    <w:rsid w:val="00AB7741"/>
    <w:rsid w:val="00AC395F"/>
    <w:rsid w:val="00AD3C24"/>
    <w:rsid w:val="00AD4DAF"/>
    <w:rsid w:val="00AE06FA"/>
    <w:rsid w:val="00AE2FF7"/>
    <w:rsid w:val="00AF0618"/>
    <w:rsid w:val="00AF47FA"/>
    <w:rsid w:val="00B10788"/>
    <w:rsid w:val="00B13430"/>
    <w:rsid w:val="00B13BD3"/>
    <w:rsid w:val="00B22578"/>
    <w:rsid w:val="00B245B2"/>
    <w:rsid w:val="00B26FB3"/>
    <w:rsid w:val="00B34548"/>
    <w:rsid w:val="00B45381"/>
    <w:rsid w:val="00B64CFF"/>
    <w:rsid w:val="00B70F7C"/>
    <w:rsid w:val="00B823D9"/>
    <w:rsid w:val="00B824D6"/>
    <w:rsid w:val="00B87A4F"/>
    <w:rsid w:val="00B93C37"/>
    <w:rsid w:val="00B96010"/>
    <w:rsid w:val="00B97927"/>
    <w:rsid w:val="00BB5049"/>
    <w:rsid w:val="00BB5F42"/>
    <w:rsid w:val="00BC0237"/>
    <w:rsid w:val="00BC2998"/>
    <w:rsid w:val="00BC7CD8"/>
    <w:rsid w:val="00BD0354"/>
    <w:rsid w:val="00BD703E"/>
    <w:rsid w:val="00BE5CD1"/>
    <w:rsid w:val="00BF6335"/>
    <w:rsid w:val="00BF7693"/>
    <w:rsid w:val="00C00687"/>
    <w:rsid w:val="00C014D6"/>
    <w:rsid w:val="00C0687D"/>
    <w:rsid w:val="00C1217E"/>
    <w:rsid w:val="00C123A9"/>
    <w:rsid w:val="00C14DCE"/>
    <w:rsid w:val="00C21AC5"/>
    <w:rsid w:val="00C241BB"/>
    <w:rsid w:val="00C246D4"/>
    <w:rsid w:val="00C24E2F"/>
    <w:rsid w:val="00C30664"/>
    <w:rsid w:val="00C30D99"/>
    <w:rsid w:val="00C31E44"/>
    <w:rsid w:val="00C33ACA"/>
    <w:rsid w:val="00C47CB0"/>
    <w:rsid w:val="00C530E1"/>
    <w:rsid w:val="00C54BAC"/>
    <w:rsid w:val="00C561AD"/>
    <w:rsid w:val="00C62C90"/>
    <w:rsid w:val="00C64E0D"/>
    <w:rsid w:val="00C662E1"/>
    <w:rsid w:val="00C748F2"/>
    <w:rsid w:val="00C75551"/>
    <w:rsid w:val="00C75A26"/>
    <w:rsid w:val="00C764C4"/>
    <w:rsid w:val="00C90ED6"/>
    <w:rsid w:val="00C92D31"/>
    <w:rsid w:val="00CA03B7"/>
    <w:rsid w:val="00CA494C"/>
    <w:rsid w:val="00CA59CD"/>
    <w:rsid w:val="00CB3F31"/>
    <w:rsid w:val="00CB44D6"/>
    <w:rsid w:val="00CD497A"/>
    <w:rsid w:val="00D0689A"/>
    <w:rsid w:val="00D101FA"/>
    <w:rsid w:val="00D10E09"/>
    <w:rsid w:val="00D11337"/>
    <w:rsid w:val="00D120EC"/>
    <w:rsid w:val="00D1684B"/>
    <w:rsid w:val="00D1735F"/>
    <w:rsid w:val="00D2658C"/>
    <w:rsid w:val="00D30F5F"/>
    <w:rsid w:val="00D315B2"/>
    <w:rsid w:val="00D31685"/>
    <w:rsid w:val="00D32ABC"/>
    <w:rsid w:val="00D41A97"/>
    <w:rsid w:val="00D426B6"/>
    <w:rsid w:val="00D42907"/>
    <w:rsid w:val="00D46CC8"/>
    <w:rsid w:val="00D50030"/>
    <w:rsid w:val="00D53110"/>
    <w:rsid w:val="00D556F0"/>
    <w:rsid w:val="00D56758"/>
    <w:rsid w:val="00D57915"/>
    <w:rsid w:val="00D61E99"/>
    <w:rsid w:val="00D7180F"/>
    <w:rsid w:val="00D7268D"/>
    <w:rsid w:val="00D75B2F"/>
    <w:rsid w:val="00D81DB4"/>
    <w:rsid w:val="00D871EB"/>
    <w:rsid w:val="00D902EE"/>
    <w:rsid w:val="00D95C40"/>
    <w:rsid w:val="00D97134"/>
    <w:rsid w:val="00D974C9"/>
    <w:rsid w:val="00DB084F"/>
    <w:rsid w:val="00DB0B15"/>
    <w:rsid w:val="00DB735E"/>
    <w:rsid w:val="00DC7AAD"/>
    <w:rsid w:val="00DD25B2"/>
    <w:rsid w:val="00DD2FCC"/>
    <w:rsid w:val="00DD37DE"/>
    <w:rsid w:val="00DD48B5"/>
    <w:rsid w:val="00DD79EE"/>
    <w:rsid w:val="00DE7397"/>
    <w:rsid w:val="00DF0E4C"/>
    <w:rsid w:val="00DF6635"/>
    <w:rsid w:val="00E0182D"/>
    <w:rsid w:val="00E11676"/>
    <w:rsid w:val="00E15383"/>
    <w:rsid w:val="00E15964"/>
    <w:rsid w:val="00E165F5"/>
    <w:rsid w:val="00E174ED"/>
    <w:rsid w:val="00E27ABF"/>
    <w:rsid w:val="00E27D1E"/>
    <w:rsid w:val="00E320AD"/>
    <w:rsid w:val="00E34A0C"/>
    <w:rsid w:val="00E34F6B"/>
    <w:rsid w:val="00E35B14"/>
    <w:rsid w:val="00E419B3"/>
    <w:rsid w:val="00E47C29"/>
    <w:rsid w:val="00E51337"/>
    <w:rsid w:val="00E525DB"/>
    <w:rsid w:val="00E76815"/>
    <w:rsid w:val="00E8384E"/>
    <w:rsid w:val="00E84E9B"/>
    <w:rsid w:val="00E919D5"/>
    <w:rsid w:val="00E95331"/>
    <w:rsid w:val="00EA0395"/>
    <w:rsid w:val="00EB0213"/>
    <w:rsid w:val="00EB04AB"/>
    <w:rsid w:val="00EB18D4"/>
    <w:rsid w:val="00EB4440"/>
    <w:rsid w:val="00EC00C8"/>
    <w:rsid w:val="00EC01AC"/>
    <w:rsid w:val="00EC0762"/>
    <w:rsid w:val="00EC0993"/>
    <w:rsid w:val="00EC62CA"/>
    <w:rsid w:val="00ED2C30"/>
    <w:rsid w:val="00EE04FB"/>
    <w:rsid w:val="00EF3B4E"/>
    <w:rsid w:val="00F0262A"/>
    <w:rsid w:val="00F05326"/>
    <w:rsid w:val="00F055B6"/>
    <w:rsid w:val="00F115F5"/>
    <w:rsid w:val="00F12DBD"/>
    <w:rsid w:val="00F13202"/>
    <w:rsid w:val="00F13997"/>
    <w:rsid w:val="00F141B8"/>
    <w:rsid w:val="00F1730C"/>
    <w:rsid w:val="00F2330E"/>
    <w:rsid w:val="00F30C8C"/>
    <w:rsid w:val="00F3258A"/>
    <w:rsid w:val="00F348FE"/>
    <w:rsid w:val="00F37FE1"/>
    <w:rsid w:val="00F4074F"/>
    <w:rsid w:val="00F44383"/>
    <w:rsid w:val="00F515DB"/>
    <w:rsid w:val="00F56461"/>
    <w:rsid w:val="00F60CE8"/>
    <w:rsid w:val="00F61732"/>
    <w:rsid w:val="00F6430D"/>
    <w:rsid w:val="00F84222"/>
    <w:rsid w:val="00F87A5D"/>
    <w:rsid w:val="00F93832"/>
    <w:rsid w:val="00F95205"/>
    <w:rsid w:val="00FA19B7"/>
    <w:rsid w:val="00FA1E49"/>
    <w:rsid w:val="00FA676A"/>
    <w:rsid w:val="00FC2F71"/>
    <w:rsid w:val="00FC63A5"/>
    <w:rsid w:val="00FD107B"/>
    <w:rsid w:val="00FD5203"/>
    <w:rsid w:val="00FD6012"/>
    <w:rsid w:val="00FD67AB"/>
    <w:rsid w:val="00FE0784"/>
    <w:rsid w:val="00FE33D2"/>
    <w:rsid w:val="00FF1563"/>
    <w:rsid w:val="00FF1631"/>
    <w:rsid w:val="00FF313D"/>
    <w:rsid w:val="00FF52AB"/>
    <w:rsid w:val="00FF73BE"/>
    <w:rsid w:val="01670864"/>
    <w:rsid w:val="01896811"/>
    <w:rsid w:val="019E7F3D"/>
    <w:rsid w:val="02D84414"/>
    <w:rsid w:val="03634328"/>
    <w:rsid w:val="03944F6A"/>
    <w:rsid w:val="03963644"/>
    <w:rsid w:val="044658F5"/>
    <w:rsid w:val="048E097B"/>
    <w:rsid w:val="050339CA"/>
    <w:rsid w:val="06A3708D"/>
    <w:rsid w:val="06F210BD"/>
    <w:rsid w:val="07533E43"/>
    <w:rsid w:val="08662569"/>
    <w:rsid w:val="0888203D"/>
    <w:rsid w:val="0A0C04D1"/>
    <w:rsid w:val="0B387AB7"/>
    <w:rsid w:val="0BF45573"/>
    <w:rsid w:val="0CC775F6"/>
    <w:rsid w:val="0D237E5F"/>
    <w:rsid w:val="0DEF62A9"/>
    <w:rsid w:val="0E02093C"/>
    <w:rsid w:val="0E8C0B11"/>
    <w:rsid w:val="0F676827"/>
    <w:rsid w:val="0F9022CC"/>
    <w:rsid w:val="0FBC182E"/>
    <w:rsid w:val="10985DE8"/>
    <w:rsid w:val="126F7E61"/>
    <w:rsid w:val="155105C5"/>
    <w:rsid w:val="156C58EF"/>
    <w:rsid w:val="1582093B"/>
    <w:rsid w:val="159A4A10"/>
    <w:rsid w:val="169B2F8B"/>
    <w:rsid w:val="16F616BE"/>
    <w:rsid w:val="17490C28"/>
    <w:rsid w:val="18072B73"/>
    <w:rsid w:val="18574301"/>
    <w:rsid w:val="18596CF8"/>
    <w:rsid w:val="187B3A04"/>
    <w:rsid w:val="1B9A7E6F"/>
    <w:rsid w:val="1BC1317B"/>
    <w:rsid w:val="1C031EA9"/>
    <w:rsid w:val="1C8E6237"/>
    <w:rsid w:val="1D104A7F"/>
    <w:rsid w:val="1D1112D2"/>
    <w:rsid w:val="1D4262C4"/>
    <w:rsid w:val="1D553591"/>
    <w:rsid w:val="1D732911"/>
    <w:rsid w:val="1F61579C"/>
    <w:rsid w:val="1F725638"/>
    <w:rsid w:val="1FF70DC4"/>
    <w:rsid w:val="20A61BFC"/>
    <w:rsid w:val="20A6423D"/>
    <w:rsid w:val="213E2B8B"/>
    <w:rsid w:val="223741BE"/>
    <w:rsid w:val="22714ADA"/>
    <w:rsid w:val="22771538"/>
    <w:rsid w:val="23261677"/>
    <w:rsid w:val="23BD47E8"/>
    <w:rsid w:val="24A1084D"/>
    <w:rsid w:val="24E37481"/>
    <w:rsid w:val="26E8081A"/>
    <w:rsid w:val="2725580A"/>
    <w:rsid w:val="28216165"/>
    <w:rsid w:val="285C09A8"/>
    <w:rsid w:val="28C43F84"/>
    <w:rsid w:val="29BE3376"/>
    <w:rsid w:val="2A705019"/>
    <w:rsid w:val="2A81520E"/>
    <w:rsid w:val="2A9C53B3"/>
    <w:rsid w:val="2C713B2E"/>
    <w:rsid w:val="2D5D4D92"/>
    <w:rsid w:val="2D891ACA"/>
    <w:rsid w:val="2EA45A45"/>
    <w:rsid w:val="2EEC4152"/>
    <w:rsid w:val="2FEC4ED7"/>
    <w:rsid w:val="2FF41FDE"/>
    <w:rsid w:val="3135255E"/>
    <w:rsid w:val="317B38F9"/>
    <w:rsid w:val="31EA6065"/>
    <w:rsid w:val="321A30FD"/>
    <w:rsid w:val="325A122C"/>
    <w:rsid w:val="326C748A"/>
    <w:rsid w:val="32DF112F"/>
    <w:rsid w:val="33062754"/>
    <w:rsid w:val="34744D86"/>
    <w:rsid w:val="359B201E"/>
    <w:rsid w:val="35A94A27"/>
    <w:rsid w:val="36516AEC"/>
    <w:rsid w:val="3655592F"/>
    <w:rsid w:val="372A0C74"/>
    <w:rsid w:val="37C82270"/>
    <w:rsid w:val="38FA0FAD"/>
    <w:rsid w:val="39357C50"/>
    <w:rsid w:val="39F647C6"/>
    <w:rsid w:val="3A3E331D"/>
    <w:rsid w:val="3A663AD8"/>
    <w:rsid w:val="3B64626A"/>
    <w:rsid w:val="3BD90306"/>
    <w:rsid w:val="3CD437CE"/>
    <w:rsid w:val="3D43700B"/>
    <w:rsid w:val="3D8E0FEA"/>
    <w:rsid w:val="3E492690"/>
    <w:rsid w:val="3E5B4074"/>
    <w:rsid w:val="40EC79E2"/>
    <w:rsid w:val="41A120F5"/>
    <w:rsid w:val="42696909"/>
    <w:rsid w:val="42C90BE5"/>
    <w:rsid w:val="43542C27"/>
    <w:rsid w:val="43833AFD"/>
    <w:rsid w:val="4410552F"/>
    <w:rsid w:val="441401D8"/>
    <w:rsid w:val="44210F32"/>
    <w:rsid w:val="455A530C"/>
    <w:rsid w:val="456C4128"/>
    <w:rsid w:val="464A0752"/>
    <w:rsid w:val="466F1C29"/>
    <w:rsid w:val="46833A15"/>
    <w:rsid w:val="473D350D"/>
    <w:rsid w:val="485B727B"/>
    <w:rsid w:val="4A0B043D"/>
    <w:rsid w:val="4A414F1D"/>
    <w:rsid w:val="4A80388D"/>
    <w:rsid w:val="4BC220E1"/>
    <w:rsid w:val="4C43200D"/>
    <w:rsid w:val="4C43601E"/>
    <w:rsid w:val="4C6A7458"/>
    <w:rsid w:val="4CD06591"/>
    <w:rsid w:val="4D487D0B"/>
    <w:rsid w:val="4D90476E"/>
    <w:rsid w:val="4E341966"/>
    <w:rsid w:val="4ECB32AF"/>
    <w:rsid w:val="50E92EFE"/>
    <w:rsid w:val="50F10DB2"/>
    <w:rsid w:val="514509C7"/>
    <w:rsid w:val="53AF7DB7"/>
    <w:rsid w:val="54436F0C"/>
    <w:rsid w:val="544B0D60"/>
    <w:rsid w:val="54616D77"/>
    <w:rsid w:val="561B2233"/>
    <w:rsid w:val="56683DBD"/>
    <w:rsid w:val="57893BB0"/>
    <w:rsid w:val="59167DA4"/>
    <w:rsid w:val="5DE90592"/>
    <w:rsid w:val="5EA82595"/>
    <w:rsid w:val="5F493FF1"/>
    <w:rsid w:val="60CB06CA"/>
    <w:rsid w:val="610A56EB"/>
    <w:rsid w:val="61750921"/>
    <w:rsid w:val="61774699"/>
    <w:rsid w:val="61912990"/>
    <w:rsid w:val="64432611"/>
    <w:rsid w:val="65A45331"/>
    <w:rsid w:val="65CF02DA"/>
    <w:rsid w:val="662B2E52"/>
    <w:rsid w:val="66872664"/>
    <w:rsid w:val="673565FE"/>
    <w:rsid w:val="675F7C37"/>
    <w:rsid w:val="67B1564D"/>
    <w:rsid w:val="69446775"/>
    <w:rsid w:val="6961006A"/>
    <w:rsid w:val="6B424106"/>
    <w:rsid w:val="6CB75E28"/>
    <w:rsid w:val="6DC742B3"/>
    <w:rsid w:val="6DEA341C"/>
    <w:rsid w:val="6DF13275"/>
    <w:rsid w:val="6F59718C"/>
    <w:rsid w:val="70F74150"/>
    <w:rsid w:val="712324C8"/>
    <w:rsid w:val="73985813"/>
    <w:rsid w:val="74FF19C9"/>
    <w:rsid w:val="75B71F84"/>
    <w:rsid w:val="75B82733"/>
    <w:rsid w:val="768F6E9F"/>
    <w:rsid w:val="77683250"/>
    <w:rsid w:val="77D23D47"/>
    <w:rsid w:val="787D567B"/>
    <w:rsid w:val="78C27B71"/>
    <w:rsid w:val="78D855C6"/>
    <w:rsid w:val="78F26D93"/>
    <w:rsid w:val="7A2901A6"/>
    <w:rsid w:val="7A356AD3"/>
    <w:rsid w:val="7ACD1D04"/>
    <w:rsid w:val="7B3459C8"/>
    <w:rsid w:val="7D756BDC"/>
    <w:rsid w:val="7FB91EAF"/>
    <w:rsid w:val="7FE576F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5"/>
    <w:qFormat/>
    <w:uiPriority w:val="9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10"/>
    <w:pPr>
      <w:spacing w:before="240" w:after="60"/>
      <w:jc w:val="left"/>
      <w:outlineLvl w:val="0"/>
    </w:pPr>
    <w:rPr>
      <w:rFonts w:ascii="Arial" w:hAnsi="Arial" w:cs="Arial"/>
      <w:b/>
      <w:bCs/>
      <w:sz w:val="32"/>
      <w:szCs w:val="32"/>
    </w:rPr>
  </w:style>
  <w:style w:type="paragraph" w:styleId="4">
    <w:name w:val="Plain Text"/>
    <w:basedOn w:val="1"/>
    <w:link w:val="16"/>
    <w:qFormat/>
    <w:uiPriority w:val="0"/>
    <w:rPr>
      <w:rFonts w:ascii="宋体" w:hAnsi="Courier New"/>
      <w:szCs w:val="20"/>
    </w:rPr>
  </w:style>
  <w:style w:type="paragraph" w:styleId="5">
    <w:name w:val="Date"/>
    <w:basedOn w:val="1"/>
    <w:next w:val="1"/>
    <w:link w:val="26"/>
    <w:semiHidden/>
    <w:unhideWhenUsed/>
    <w:qFormat/>
    <w:uiPriority w:val="99"/>
    <w:pPr>
      <w:ind w:left="100" w:leftChars="2500"/>
    </w:pPr>
  </w:style>
  <w:style w:type="paragraph" w:styleId="6">
    <w:name w:val="endnote text"/>
    <w:basedOn w:val="1"/>
    <w:link w:val="17"/>
    <w:semiHidden/>
    <w:qFormat/>
    <w:uiPriority w:val="99"/>
    <w:pPr>
      <w:snapToGrid w:val="0"/>
      <w:jc w:val="left"/>
    </w:pPr>
  </w:style>
  <w:style w:type="paragraph" w:styleId="7">
    <w:name w:val="Balloon Text"/>
    <w:basedOn w:val="1"/>
    <w:link w:val="18"/>
    <w:qFormat/>
    <w:uiPriority w:val="99"/>
    <w:rPr>
      <w:sz w:val="18"/>
      <w:szCs w:val="18"/>
    </w:rPr>
  </w:style>
  <w:style w:type="paragraph" w:styleId="8">
    <w:name w:val="footer"/>
    <w:basedOn w:val="1"/>
    <w:next w:val="1"/>
    <w:link w:val="19"/>
    <w:qFormat/>
    <w:uiPriority w:val="99"/>
    <w:pPr>
      <w:tabs>
        <w:tab w:val="center" w:pos="4153"/>
        <w:tab w:val="right" w:pos="8306"/>
      </w:tabs>
      <w:snapToGrid w:val="0"/>
      <w:jc w:val="left"/>
    </w:pPr>
    <w:rPr>
      <w:sz w:val="18"/>
      <w:szCs w:val="18"/>
    </w:rPr>
  </w:style>
  <w:style w:type="paragraph" w:styleId="9">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9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ndnote reference"/>
    <w:basedOn w:val="12"/>
    <w:semiHidden/>
    <w:qFormat/>
    <w:uiPriority w:val="99"/>
    <w:rPr>
      <w:rFonts w:cs="Times New Roman"/>
      <w:vertAlign w:val="superscript"/>
    </w:rPr>
  </w:style>
  <w:style w:type="character" w:styleId="14">
    <w:name w:val="annotation reference"/>
    <w:basedOn w:val="12"/>
    <w:qFormat/>
    <w:uiPriority w:val="99"/>
    <w:rPr>
      <w:rFonts w:cs="Times New Roman"/>
      <w:sz w:val="21"/>
    </w:rPr>
  </w:style>
  <w:style w:type="character" w:customStyle="1" w:styleId="15">
    <w:name w:val="标题 1 Char"/>
    <w:basedOn w:val="12"/>
    <w:link w:val="3"/>
    <w:qFormat/>
    <w:uiPriority w:val="99"/>
    <w:rPr>
      <w:rFonts w:ascii="Calibri" w:hAnsi="Calibri" w:eastAsia="宋体" w:cs="Times New Roman"/>
      <w:b/>
      <w:bCs/>
      <w:kern w:val="44"/>
      <w:sz w:val="44"/>
      <w:szCs w:val="44"/>
    </w:rPr>
  </w:style>
  <w:style w:type="character" w:customStyle="1" w:styleId="16">
    <w:name w:val="纯文本 Char"/>
    <w:basedOn w:val="12"/>
    <w:link w:val="4"/>
    <w:qFormat/>
    <w:uiPriority w:val="0"/>
    <w:rPr>
      <w:rFonts w:ascii="宋体" w:hAnsi="Courier New" w:eastAsia="宋体" w:cs="Times New Roman"/>
      <w:sz w:val="20"/>
      <w:szCs w:val="20"/>
    </w:rPr>
  </w:style>
  <w:style w:type="character" w:customStyle="1" w:styleId="17">
    <w:name w:val="尾注文本 Char"/>
    <w:basedOn w:val="12"/>
    <w:link w:val="6"/>
    <w:semiHidden/>
    <w:qFormat/>
    <w:uiPriority w:val="99"/>
    <w:rPr>
      <w:rFonts w:ascii="Calibri" w:hAnsi="Calibri" w:eastAsia="宋体" w:cs="Times New Roman"/>
      <w:sz w:val="24"/>
      <w:szCs w:val="24"/>
    </w:rPr>
  </w:style>
  <w:style w:type="character" w:customStyle="1" w:styleId="18">
    <w:name w:val="批注框文本 Char"/>
    <w:basedOn w:val="12"/>
    <w:link w:val="7"/>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character" w:customStyle="1" w:styleId="20">
    <w:name w:val="页眉 Char"/>
    <w:basedOn w:val="12"/>
    <w:link w:val="9"/>
    <w:qFormat/>
    <w:uiPriority w:val="99"/>
    <w:rPr>
      <w:rFonts w:ascii="Calibri" w:hAnsi="Calibri" w:eastAsia="宋体" w:cs="Times New Roman"/>
      <w:sz w:val="18"/>
      <w:szCs w:val="18"/>
    </w:rPr>
  </w:style>
  <w:style w:type="character" w:styleId="21">
    <w:name w:val="Placeholder Text"/>
    <w:basedOn w:val="12"/>
    <w:semiHidden/>
    <w:qFormat/>
    <w:uiPriority w:val="99"/>
    <w:rPr>
      <w:color w:val="808080"/>
    </w:rPr>
  </w:style>
  <w:style w:type="character" w:customStyle="1" w:styleId="22">
    <w:name w:val="MTEquationSection"/>
    <w:basedOn w:val="12"/>
    <w:qFormat/>
    <w:uiPriority w:val="99"/>
    <w:rPr>
      <w:rFonts w:ascii="Times New Roman" w:hAnsi="Times New Roman" w:cs="Times New Roman"/>
      <w:b/>
      <w:bCs/>
      <w:vanish/>
      <w:color w:val="FF0000"/>
      <w:sz w:val="52"/>
    </w:rPr>
  </w:style>
  <w:style w:type="table" w:customStyle="1" w:styleId="23">
    <w:name w:val="3"/>
    <w:qFormat/>
    <w:uiPriority w:val="99"/>
    <w:pPr>
      <w:widowControl w:val="0"/>
      <w:autoSpaceDE w:val="0"/>
      <w:autoSpaceDN w:val="0"/>
      <w:adjustRightInd w:val="0"/>
    </w:pPr>
    <w:rPr>
      <w:sz w:val="24"/>
      <w:szCs w:val="24"/>
    </w:rPr>
    <w:tblPr>
      <w:tblCellSpacing w:w="0" w:type="dxa"/>
      <w:tblCellMar>
        <w:top w:w="0" w:type="dxa"/>
        <w:left w:w="108" w:type="dxa"/>
        <w:bottom w:w="0" w:type="dxa"/>
        <w:right w:w="108" w:type="dxa"/>
      </w:tblCellMar>
    </w:tblPr>
    <w:trPr>
      <w:cantSplit/>
      <w:tblCellSpacing w:w="0" w:type="dxa"/>
    </w:trPr>
  </w:style>
  <w:style w:type="paragraph" w:customStyle="1" w:styleId="24">
    <w:name w:val="TOC Heading1"/>
    <w:basedOn w:val="3"/>
    <w:next w:val="1"/>
    <w:semiHidden/>
    <w:qFormat/>
    <w:uiPriority w:val="99"/>
    <w:pPr>
      <w:widowControl/>
      <w:spacing w:before="480" w:after="0" w:line="276" w:lineRule="auto"/>
      <w:jc w:val="left"/>
      <w:outlineLvl w:val="9"/>
    </w:pPr>
    <w:rPr>
      <w:rFonts w:ascii="Cambria" w:hAnsi="Cambria"/>
      <w:color w:val="365F91"/>
      <w:kern w:val="0"/>
      <w:sz w:val="28"/>
      <w:szCs w:val="28"/>
    </w:rPr>
  </w:style>
  <w:style w:type="paragraph" w:styleId="25">
    <w:name w:val="List Paragraph"/>
    <w:basedOn w:val="1"/>
    <w:qFormat/>
    <w:uiPriority w:val="34"/>
    <w:pPr>
      <w:ind w:firstLine="420" w:firstLineChars="200"/>
    </w:pPr>
    <w:rPr>
      <w:rFonts w:asciiTheme="minorHAnsi" w:hAnsiTheme="minorHAnsi" w:eastAsiaTheme="minorEastAsia" w:cstheme="minorBidi"/>
    </w:rPr>
  </w:style>
  <w:style w:type="character" w:customStyle="1" w:styleId="26">
    <w:name w:val="日期 Char"/>
    <w:basedOn w:val="12"/>
    <w:link w:val="5"/>
    <w:semiHidden/>
    <w:qFormat/>
    <w:uiPriority w:val="99"/>
    <w:rPr>
      <w:rFonts w:ascii="Calibri" w:hAnsi="Calibri"/>
      <w:kern w:val="2"/>
      <w:sz w:val="21"/>
      <w:szCs w:val="24"/>
    </w:rPr>
  </w:style>
</w:styles>
</file>

<file path=word/_rels/document.xml.rels><?xml version="1.0" encoding="UTF-8" standalone="yes"?>
<Relationships xmlns="http://schemas.openxmlformats.org/package/2006/relationships"><Relationship Id="rId99" Type="http://schemas.openxmlformats.org/officeDocument/2006/relationships/image" Target="media/image43.wmf"/><Relationship Id="rId98" Type="http://schemas.openxmlformats.org/officeDocument/2006/relationships/oleObject" Target="embeddings/oleObject43.bin"/><Relationship Id="rId97" Type="http://schemas.openxmlformats.org/officeDocument/2006/relationships/oleObject" Target="embeddings/oleObject42.bin"/><Relationship Id="rId96" Type="http://schemas.openxmlformats.org/officeDocument/2006/relationships/image" Target="media/image42.wmf"/><Relationship Id="rId95" Type="http://schemas.openxmlformats.org/officeDocument/2006/relationships/oleObject" Target="embeddings/oleObject41.bin"/><Relationship Id="rId94" Type="http://schemas.openxmlformats.org/officeDocument/2006/relationships/image" Target="media/image41.wmf"/><Relationship Id="rId93" Type="http://schemas.openxmlformats.org/officeDocument/2006/relationships/oleObject" Target="embeddings/oleObject40.bin"/><Relationship Id="rId92" Type="http://schemas.openxmlformats.org/officeDocument/2006/relationships/image" Target="media/image40.wmf"/><Relationship Id="rId91" Type="http://schemas.openxmlformats.org/officeDocument/2006/relationships/oleObject" Target="embeddings/oleObject39.bin"/><Relationship Id="rId90" Type="http://schemas.openxmlformats.org/officeDocument/2006/relationships/image" Target="media/image39.wmf"/><Relationship Id="rId9" Type="http://schemas.openxmlformats.org/officeDocument/2006/relationships/footer" Target="footer4.xml"/><Relationship Id="rId89" Type="http://schemas.openxmlformats.org/officeDocument/2006/relationships/oleObject" Target="embeddings/oleObject38.bin"/><Relationship Id="rId88" Type="http://schemas.openxmlformats.org/officeDocument/2006/relationships/oleObject" Target="embeddings/oleObject37.bin"/><Relationship Id="rId87" Type="http://schemas.openxmlformats.org/officeDocument/2006/relationships/image" Target="media/image38.wmf"/><Relationship Id="rId86" Type="http://schemas.openxmlformats.org/officeDocument/2006/relationships/oleObject" Target="embeddings/oleObject36.bin"/><Relationship Id="rId85" Type="http://schemas.openxmlformats.org/officeDocument/2006/relationships/image" Target="media/image37.wmf"/><Relationship Id="rId84" Type="http://schemas.openxmlformats.org/officeDocument/2006/relationships/oleObject" Target="embeddings/oleObject35.bin"/><Relationship Id="rId83" Type="http://schemas.openxmlformats.org/officeDocument/2006/relationships/image" Target="media/image36.wmf"/><Relationship Id="rId82" Type="http://schemas.openxmlformats.org/officeDocument/2006/relationships/oleObject" Target="embeddings/oleObject34.bin"/><Relationship Id="rId81" Type="http://schemas.openxmlformats.org/officeDocument/2006/relationships/image" Target="media/image35.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4.wmf"/><Relationship Id="rId78" Type="http://schemas.openxmlformats.org/officeDocument/2006/relationships/oleObject" Target="embeddings/oleObject32.bin"/><Relationship Id="rId77" Type="http://schemas.openxmlformats.org/officeDocument/2006/relationships/image" Target="media/image33.wmf"/><Relationship Id="rId76" Type="http://schemas.openxmlformats.org/officeDocument/2006/relationships/oleObject" Target="embeddings/oleObject31.bin"/><Relationship Id="rId75" Type="http://schemas.openxmlformats.org/officeDocument/2006/relationships/image" Target="media/image32.wmf"/><Relationship Id="rId74" Type="http://schemas.openxmlformats.org/officeDocument/2006/relationships/oleObject" Target="embeddings/oleObject30.bin"/><Relationship Id="rId73" Type="http://schemas.openxmlformats.org/officeDocument/2006/relationships/image" Target="media/image31.wmf"/><Relationship Id="rId72" Type="http://schemas.openxmlformats.org/officeDocument/2006/relationships/oleObject" Target="embeddings/oleObject29.bin"/><Relationship Id="rId71" Type="http://schemas.openxmlformats.org/officeDocument/2006/relationships/image" Target="media/image30.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oleObject" Target="embeddings/oleObject27.bin"/><Relationship Id="rId68" Type="http://schemas.openxmlformats.org/officeDocument/2006/relationships/image" Target="media/image29.wmf"/><Relationship Id="rId67" Type="http://schemas.openxmlformats.org/officeDocument/2006/relationships/oleObject" Target="embeddings/oleObject26.bin"/><Relationship Id="rId66" Type="http://schemas.openxmlformats.org/officeDocument/2006/relationships/oleObject" Target="embeddings/oleObject25.bin"/><Relationship Id="rId65" Type="http://schemas.openxmlformats.org/officeDocument/2006/relationships/image" Target="media/image28.wmf"/><Relationship Id="rId64" Type="http://schemas.openxmlformats.org/officeDocument/2006/relationships/oleObject" Target="embeddings/oleObject24.bin"/><Relationship Id="rId63" Type="http://schemas.openxmlformats.org/officeDocument/2006/relationships/image" Target="media/image27.wmf"/><Relationship Id="rId62" Type="http://schemas.openxmlformats.org/officeDocument/2006/relationships/oleObject" Target="embeddings/oleObject23.bin"/><Relationship Id="rId61" Type="http://schemas.openxmlformats.org/officeDocument/2006/relationships/image" Target="media/image26.wmf"/><Relationship Id="rId60" Type="http://schemas.openxmlformats.org/officeDocument/2006/relationships/oleObject" Target="embeddings/oleObject22.bin"/><Relationship Id="rId6" Type="http://schemas.openxmlformats.org/officeDocument/2006/relationships/header" Target="header3.xml"/><Relationship Id="rId59" Type="http://schemas.openxmlformats.org/officeDocument/2006/relationships/image" Target="media/image25.wmf"/><Relationship Id="rId58" Type="http://schemas.openxmlformats.org/officeDocument/2006/relationships/oleObject" Target="embeddings/oleObject21.bin"/><Relationship Id="rId57" Type="http://schemas.openxmlformats.org/officeDocument/2006/relationships/image" Target="media/image24.wmf"/><Relationship Id="rId56" Type="http://schemas.openxmlformats.org/officeDocument/2006/relationships/oleObject" Target="embeddings/oleObject20.bin"/><Relationship Id="rId55" Type="http://schemas.openxmlformats.org/officeDocument/2006/relationships/image" Target="media/image23.wmf"/><Relationship Id="rId54" Type="http://schemas.openxmlformats.org/officeDocument/2006/relationships/oleObject" Target="embeddings/oleObject19.bin"/><Relationship Id="rId53" Type="http://schemas.openxmlformats.org/officeDocument/2006/relationships/image" Target="media/image22.wmf"/><Relationship Id="rId52" Type="http://schemas.openxmlformats.org/officeDocument/2006/relationships/oleObject" Target="embeddings/oleObject18.bin"/><Relationship Id="rId51" Type="http://schemas.openxmlformats.org/officeDocument/2006/relationships/image" Target="media/image21.wmf"/><Relationship Id="rId50" Type="http://schemas.openxmlformats.org/officeDocument/2006/relationships/oleObject" Target="embeddings/oleObject17.bin"/><Relationship Id="rId5" Type="http://schemas.openxmlformats.org/officeDocument/2006/relationships/header" Target="header2.xml"/><Relationship Id="rId49" Type="http://schemas.openxmlformats.org/officeDocument/2006/relationships/image" Target="media/image20.wmf"/><Relationship Id="rId48" Type="http://schemas.openxmlformats.org/officeDocument/2006/relationships/oleObject" Target="embeddings/oleObject16.bin"/><Relationship Id="rId47" Type="http://schemas.openxmlformats.org/officeDocument/2006/relationships/image" Target="media/image19.wmf"/><Relationship Id="rId46" Type="http://schemas.openxmlformats.org/officeDocument/2006/relationships/oleObject" Target="embeddings/oleObject15.bin"/><Relationship Id="rId45" Type="http://schemas.openxmlformats.org/officeDocument/2006/relationships/image" Target="media/image18.wmf"/><Relationship Id="rId44" Type="http://schemas.openxmlformats.org/officeDocument/2006/relationships/oleObject" Target="embeddings/oleObject14.bin"/><Relationship Id="rId43" Type="http://schemas.openxmlformats.org/officeDocument/2006/relationships/image" Target="media/image17.wmf"/><Relationship Id="rId42" Type="http://schemas.openxmlformats.org/officeDocument/2006/relationships/oleObject" Target="embeddings/oleObject13.bin"/><Relationship Id="rId41" Type="http://schemas.openxmlformats.org/officeDocument/2006/relationships/image" Target="media/image16.wmf"/><Relationship Id="rId40" Type="http://schemas.openxmlformats.org/officeDocument/2006/relationships/oleObject" Target="embeddings/oleObject12.bin"/><Relationship Id="rId4" Type="http://schemas.openxmlformats.org/officeDocument/2006/relationships/header" Target="header1.xml"/><Relationship Id="rId39" Type="http://schemas.openxmlformats.org/officeDocument/2006/relationships/image" Target="media/image15.wmf"/><Relationship Id="rId38" Type="http://schemas.openxmlformats.org/officeDocument/2006/relationships/oleObject" Target="embeddings/oleObject11.bin"/><Relationship Id="rId37" Type="http://schemas.openxmlformats.org/officeDocument/2006/relationships/image" Target="media/image14.wmf"/><Relationship Id="rId36" Type="http://schemas.openxmlformats.org/officeDocument/2006/relationships/oleObject" Target="embeddings/oleObject10.bin"/><Relationship Id="rId35" Type="http://schemas.openxmlformats.org/officeDocument/2006/relationships/image" Target="media/image13.wmf"/><Relationship Id="rId34" Type="http://schemas.openxmlformats.org/officeDocument/2006/relationships/oleObject" Target="embeddings/oleObject9.bin"/><Relationship Id="rId33" Type="http://schemas.openxmlformats.org/officeDocument/2006/relationships/image" Target="media/image12.wmf"/><Relationship Id="rId32" Type="http://schemas.openxmlformats.org/officeDocument/2006/relationships/oleObject" Target="embeddings/oleObject8.bin"/><Relationship Id="rId31" Type="http://schemas.openxmlformats.org/officeDocument/2006/relationships/image" Target="media/image11.wmf"/><Relationship Id="rId30" Type="http://schemas.openxmlformats.org/officeDocument/2006/relationships/oleObject" Target="embeddings/oleObject7.bin"/><Relationship Id="rId3" Type="http://schemas.openxmlformats.org/officeDocument/2006/relationships/footer" Target="footer1.xml"/><Relationship Id="rId29" Type="http://schemas.openxmlformats.org/officeDocument/2006/relationships/oleObject" Target="embeddings/oleObject6.bin"/><Relationship Id="rId28" Type="http://schemas.openxmlformats.org/officeDocument/2006/relationships/image" Target="media/image10.wmf"/><Relationship Id="rId27" Type="http://schemas.openxmlformats.org/officeDocument/2006/relationships/oleObject" Target="embeddings/oleObject5.bin"/><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wmf"/><Relationship Id="rId23" Type="http://schemas.openxmlformats.org/officeDocument/2006/relationships/oleObject" Target="embeddings/oleObject4.bin"/><Relationship Id="rId22" Type="http://schemas.openxmlformats.org/officeDocument/2006/relationships/image" Target="media/image6.wmf"/><Relationship Id="rId21" Type="http://schemas.openxmlformats.org/officeDocument/2006/relationships/oleObject" Target="embeddings/oleObject3.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4.wmf"/><Relationship Id="rId17" Type="http://schemas.openxmlformats.org/officeDocument/2006/relationships/oleObject" Target="embeddings/oleObject1.bin"/><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emf"/><Relationship Id="rId13" Type="http://schemas.openxmlformats.org/officeDocument/2006/relationships/theme" Target="theme/theme1.xml"/><Relationship Id="rId125" Type="http://schemas.openxmlformats.org/officeDocument/2006/relationships/fontTable" Target="fontTable.xml"/><Relationship Id="rId124" Type="http://schemas.openxmlformats.org/officeDocument/2006/relationships/customXml" Target="../customXml/item1.xml"/><Relationship Id="rId123" Type="http://schemas.openxmlformats.org/officeDocument/2006/relationships/image" Target="media/image54.wmf"/><Relationship Id="rId122" Type="http://schemas.openxmlformats.org/officeDocument/2006/relationships/oleObject" Target="embeddings/oleObject56.bin"/><Relationship Id="rId121" Type="http://schemas.openxmlformats.org/officeDocument/2006/relationships/image" Target="media/image53.wmf"/><Relationship Id="rId120" Type="http://schemas.openxmlformats.org/officeDocument/2006/relationships/oleObject" Target="embeddings/oleObject55.bin"/><Relationship Id="rId12" Type="http://schemas.openxmlformats.org/officeDocument/2006/relationships/footer" Target="footer6.xml"/><Relationship Id="rId119" Type="http://schemas.openxmlformats.org/officeDocument/2006/relationships/image" Target="media/image52.wmf"/><Relationship Id="rId118" Type="http://schemas.openxmlformats.org/officeDocument/2006/relationships/oleObject" Target="embeddings/oleObject54.bin"/><Relationship Id="rId117" Type="http://schemas.openxmlformats.org/officeDocument/2006/relationships/image" Target="media/image51.wmf"/><Relationship Id="rId116" Type="http://schemas.openxmlformats.org/officeDocument/2006/relationships/oleObject" Target="embeddings/oleObject53.bin"/><Relationship Id="rId115" Type="http://schemas.openxmlformats.org/officeDocument/2006/relationships/image" Target="media/image50.wmf"/><Relationship Id="rId114" Type="http://schemas.openxmlformats.org/officeDocument/2006/relationships/oleObject" Target="embeddings/oleObject52.bin"/><Relationship Id="rId113" Type="http://schemas.openxmlformats.org/officeDocument/2006/relationships/image" Target="media/image49.wmf"/><Relationship Id="rId112" Type="http://schemas.openxmlformats.org/officeDocument/2006/relationships/oleObject" Target="embeddings/oleObject51.bin"/><Relationship Id="rId111" Type="http://schemas.openxmlformats.org/officeDocument/2006/relationships/oleObject" Target="embeddings/oleObject50.bin"/><Relationship Id="rId110" Type="http://schemas.openxmlformats.org/officeDocument/2006/relationships/image" Target="media/image48.wmf"/><Relationship Id="rId11" Type="http://schemas.openxmlformats.org/officeDocument/2006/relationships/header" Target="header4.xml"/><Relationship Id="rId109" Type="http://schemas.openxmlformats.org/officeDocument/2006/relationships/oleObject" Target="embeddings/oleObject49.bin"/><Relationship Id="rId108" Type="http://schemas.openxmlformats.org/officeDocument/2006/relationships/image" Target="media/image47.wmf"/><Relationship Id="rId107" Type="http://schemas.openxmlformats.org/officeDocument/2006/relationships/oleObject" Target="embeddings/oleObject48.bin"/><Relationship Id="rId106" Type="http://schemas.openxmlformats.org/officeDocument/2006/relationships/image" Target="media/image46.wmf"/><Relationship Id="rId105" Type="http://schemas.openxmlformats.org/officeDocument/2006/relationships/oleObject" Target="embeddings/oleObject47.bin"/><Relationship Id="rId104" Type="http://schemas.openxmlformats.org/officeDocument/2006/relationships/oleObject" Target="embeddings/oleObject46.bin"/><Relationship Id="rId103" Type="http://schemas.openxmlformats.org/officeDocument/2006/relationships/image" Target="media/image45.wmf"/><Relationship Id="rId102" Type="http://schemas.openxmlformats.org/officeDocument/2006/relationships/oleObject" Target="embeddings/oleObject45.bin"/><Relationship Id="rId101" Type="http://schemas.openxmlformats.org/officeDocument/2006/relationships/image" Target="media/image44.wmf"/><Relationship Id="rId100" Type="http://schemas.openxmlformats.org/officeDocument/2006/relationships/oleObject" Target="embeddings/oleObject44.bin"/><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44"/>
    <customShpInfo spid="_x0000_s1043"/>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中国微软</Company>
  <Pages>20</Pages>
  <Words>7141</Words>
  <Characters>8199</Characters>
  <Lines>23</Lines>
  <Paragraphs>15</Paragraphs>
  <TotalTime>0</TotalTime>
  <ScaleCrop>false</ScaleCrop>
  <LinksUpToDate>false</LinksUpToDate>
  <CharactersWithSpaces>8650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2024-10-10T05:24:00Z</dcterms:created>
  <dc:creator>张杰</dc:creator>
  <cp:lastModifiedBy>依然Mr.沈</cp:lastModifiedBy>
  <cp:lastPrinted>2023-11-15T05:35:00Z</cp:lastPrinted>
  <dcterms:modified xsi:type="dcterms:W3CDTF">2024-12-24T07:49:05Z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uationSection">
    <vt:lpwstr>1</vt:lpwstr>
  </property>
  <property fmtid="{D5CDD505-2E9C-101B-9397-08002B2CF9AE}" pid="4" name="KSOProductBuildVer">
    <vt:lpwstr>2052-12.1.0.19770</vt:lpwstr>
  </property>
  <property fmtid="{D5CDD505-2E9C-101B-9397-08002B2CF9AE}" pid="5" name="ICV">
    <vt:lpwstr>1F72A2BE3BD14B42A445B3476BCED4C9_13</vt:lpwstr>
  </property>
</Properties>
</file>